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0B" w:rsidRPr="0069149A" w:rsidRDefault="00FD240B" w:rsidP="00FD240B">
      <w:pPr>
        <w:rPr>
          <w:rFonts w:ascii="黑体" w:eastAsia="黑体" w:hAnsi="黑体"/>
          <w:sz w:val="32"/>
          <w:szCs w:val="32"/>
        </w:rPr>
      </w:pPr>
      <w:r w:rsidRPr="0069149A">
        <w:rPr>
          <w:rFonts w:ascii="黑体" w:eastAsia="黑体" w:hAnsi="黑体" w:hint="eastAsia"/>
          <w:sz w:val="32"/>
          <w:szCs w:val="32"/>
        </w:rPr>
        <w:t>附件</w:t>
      </w:r>
      <w:r w:rsidR="00DC5949" w:rsidRPr="0069149A">
        <w:rPr>
          <w:rFonts w:ascii="黑体" w:eastAsia="黑体" w:hAnsi="黑体" w:hint="eastAsia"/>
          <w:sz w:val="32"/>
          <w:szCs w:val="32"/>
        </w:rPr>
        <w:t>四（</w:t>
      </w:r>
      <w:r w:rsidRPr="0069149A">
        <w:rPr>
          <w:rFonts w:ascii="黑体" w:eastAsia="黑体" w:hAnsi="黑体" w:hint="eastAsia"/>
          <w:sz w:val="32"/>
          <w:szCs w:val="32"/>
        </w:rPr>
        <w:t>1</w:t>
      </w:r>
      <w:r w:rsidR="00DC5949" w:rsidRPr="0069149A">
        <w:rPr>
          <w:rFonts w:ascii="黑体" w:eastAsia="黑体" w:hAnsi="黑体" w:hint="eastAsia"/>
          <w:sz w:val="32"/>
          <w:szCs w:val="32"/>
        </w:rPr>
        <w:t>）</w:t>
      </w:r>
    </w:p>
    <w:tbl>
      <w:tblPr>
        <w:tblW w:w="10366" w:type="dxa"/>
        <w:tblInd w:w="-760" w:type="dxa"/>
        <w:tblLook w:val="04A0"/>
      </w:tblPr>
      <w:tblGrid>
        <w:gridCol w:w="1720"/>
        <w:gridCol w:w="141"/>
        <w:gridCol w:w="2499"/>
        <w:gridCol w:w="2100"/>
        <w:gridCol w:w="1950"/>
        <w:gridCol w:w="252"/>
        <w:gridCol w:w="1704"/>
      </w:tblGrid>
      <w:tr w:rsidR="00FD240B" w:rsidRPr="00441914" w:rsidTr="00F66CF9">
        <w:trPr>
          <w:trHeight w:val="585"/>
        </w:trPr>
        <w:tc>
          <w:tcPr>
            <w:tcW w:w="1036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</w:t>
            </w:r>
            <w:r w:rsidRPr="0044191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重组所</w:t>
            </w: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得税特殊性税务处理报告表</w:t>
            </w:r>
          </w:p>
        </w:tc>
      </w:tr>
      <w:tr w:rsidR="00FD240B" w:rsidRPr="00441914" w:rsidTr="00F66CF9">
        <w:trPr>
          <w:trHeight w:val="66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纳税人名称（盖章）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纳税人识别号</w:t>
            </w:r>
          </w:p>
        </w:tc>
        <w:tc>
          <w:tcPr>
            <w:tcW w:w="39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47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单位地址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财务负责人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69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主管税务机关（全称）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420"/>
        </w:trPr>
        <w:tc>
          <w:tcPr>
            <w:tcW w:w="1036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重组日：          重组业务开始年度：         重组业务完成年度：</w:t>
            </w:r>
          </w:p>
        </w:tc>
      </w:tr>
      <w:tr w:rsidR="00FD240B" w:rsidRPr="00441914" w:rsidTr="00F66CF9">
        <w:trPr>
          <w:trHeight w:val="398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重组交易类型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企业在重组业务中所属当事方类型</w:t>
            </w:r>
          </w:p>
        </w:tc>
      </w:tr>
      <w:tr w:rsidR="00FD240B" w:rsidRPr="00441914" w:rsidTr="00F66CF9">
        <w:trPr>
          <w:trHeight w:val="345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□法律形式改变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45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□债务重组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□债务人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□债权人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45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□股权收购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□收购方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□转让方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□被收购企业</w:t>
            </w:r>
          </w:p>
        </w:tc>
      </w:tr>
      <w:tr w:rsidR="00FD240B" w:rsidRPr="00441914" w:rsidTr="00F66CF9">
        <w:trPr>
          <w:trHeight w:val="345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□资产收购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□收购方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□转让方</w:t>
            </w:r>
          </w:p>
        </w:tc>
        <w:tc>
          <w:tcPr>
            <w:tcW w:w="390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45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□合并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□合并企业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□被合并企业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□被合并企业股东</w:t>
            </w:r>
          </w:p>
        </w:tc>
        <w:tc>
          <w:tcPr>
            <w:tcW w:w="170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18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□分立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□分立企业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□被分立企业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□被分立企业股东</w:t>
            </w:r>
          </w:p>
        </w:tc>
        <w:tc>
          <w:tcPr>
            <w:tcW w:w="170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20"/>
        </w:trPr>
        <w:tc>
          <w:tcPr>
            <w:tcW w:w="186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特殊性税务处理条件</w:t>
            </w:r>
          </w:p>
        </w:tc>
        <w:tc>
          <w:tcPr>
            <w:tcW w:w="680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（一）具有合理的商业目的，且不以减少、免除或者推迟缴纳税款为主要目的。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>□</w:t>
            </w:r>
          </w:p>
        </w:tc>
      </w:tr>
      <w:tr w:rsidR="00FD240B" w:rsidRPr="00441914" w:rsidTr="00F66CF9">
        <w:trPr>
          <w:trHeight w:val="630"/>
        </w:trPr>
        <w:tc>
          <w:tcPr>
            <w:tcW w:w="186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（二）被收购、合并或分立部分的资产或股权比例符合规定的比例。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>□比例    %</w:t>
            </w:r>
          </w:p>
        </w:tc>
      </w:tr>
      <w:tr w:rsidR="00FD240B" w:rsidRPr="00441914" w:rsidTr="00F66CF9">
        <w:trPr>
          <w:trHeight w:val="690"/>
        </w:trPr>
        <w:tc>
          <w:tcPr>
            <w:tcW w:w="186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（三）企业重组后的连续12个月内不改变重组资产原来的实质性经营活动。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>□</w:t>
            </w:r>
          </w:p>
        </w:tc>
      </w:tr>
      <w:tr w:rsidR="00FD240B" w:rsidRPr="00441914" w:rsidTr="00F66CF9">
        <w:trPr>
          <w:trHeight w:val="555"/>
        </w:trPr>
        <w:tc>
          <w:tcPr>
            <w:tcW w:w="186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（四）重组交易对价中涉及股权支付金额符合规定比例。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>□比例    %</w:t>
            </w:r>
          </w:p>
        </w:tc>
      </w:tr>
      <w:tr w:rsidR="00FD240B" w:rsidRPr="00441914" w:rsidTr="00F66CF9">
        <w:trPr>
          <w:trHeight w:val="690"/>
        </w:trPr>
        <w:tc>
          <w:tcPr>
            <w:tcW w:w="186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（五）企业重组中取得股权支付的原主要股东，在重组后连续12个月内，不得转让所取得的股权。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</w:rPr>
            </w:pPr>
            <w:r w:rsidRPr="00441914">
              <w:rPr>
                <w:rFonts w:ascii="华文仿宋" w:eastAsia="华文仿宋" w:hAnsi="华文仿宋" w:cs="宋体" w:hint="eastAsia"/>
                <w:kern w:val="0"/>
                <w:sz w:val="24"/>
              </w:rPr>
              <w:t>□</w:t>
            </w:r>
          </w:p>
        </w:tc>
      </w:tr>
      <w:tr w:rsidR="00FD240B" w:rsidRPr="00441914" w:rsidTr="00F66CF9">
        <w:trPr>
          <w:trHeight w:val="624"/>
        </w:trPr>
        <w:tc>
          <w:tcPr>
            <w:tcW w:w="186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主管税务机关受理意见</w:t>
            </w:r>
          </w:p>
        </w:tc>
        <w:tc>
          <w:tcPr>
            <w:tcW w:w="8505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                         （受理专用章）            年   月   日</w:t>
            </w:r>
          </w:p>
        </w:tc>
      </w:tr>
      <w:tr w:rsidR="00FD240B" w:rsidRPr="00441914" w:rsidTr="00F66CF9">
        <w:trPr>
          <w:trHeight w:val="495"/>
        </w:trPr>
        <w:tc>
          <w:tcPr>
            <w:tcW w:w="1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1113"/>
        </w:trPr>
        <w:tc>
          <w:tcPr>
            <w:tcW w:w="1036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其他需要说明的事项（重组业务其他需要说明的事项，如没有则填“无”）：</w:t>
            </w:r>
          </w:p>
        </w:tc>
      </w:tr>
      <w:tr w:rsidR="00FD240B" w:rsidRPr="00441914" w:rsidTr="00F66CF9">
        <w:trPr>
          <w:trHeight w:val="870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纳税人声明</w:t>
            </w:r>
          </w:p>
        </w:tc>
        <w:tc>
          <w:tcPr>
            <w:tcW w:w="8646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谨声明：本人知悉并保证本表填报内容及所附证明材料真实、完整，并承担因资料虚假而产生的法律和行政责任。                                                                                                                    </w:t>
            </w:r>
          </w:p>
        </w:tc>
      </w:tr>
      <w:tr w:rsidR="00FD240B" w:rsidRPr="00441914" w:rsidTr="00F66CF9">
        <w:trPr>
          <w:trHeight w:val="540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法定代表人签章：             年    月   日    </w:t>
            </w:r>
          </w:p>
        </w:tc>
      </w:tr>
      <w:tr w:rsidR="00FD240B" w:rsidRPr="00441914" w:rsidTr="00F66CF9">
        <w:trPr>
          <w:trHeight w:val="34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填表人：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填表日期： </w:t>
            </w:r>
          </w:p>
        </w:tc>
        <w:tc>
          <w:tcPr>
            <w:tcW w:w="390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4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lastRenderedPageBreak/>
              <w:t>填表说明：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615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1.本表为企业重组业务适用特殊性税务处理申报时填报。涉及两个及以上重组交易类型的，应分别填报。</w:t>
            </w:r>
          </w:p>
        </w:tc>
      </w:tr>
      <w:tr w:rsidR="00FD240B" w:rsidRPr="00441914" w:rsidTr="00F66CF9">
        <w:trPr>
          <w:trHeight w:val="975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“特殊性税务处理条件”，债务重组中重组所得超50%的，只需填写条件（一），债转股的，只需填写条件（一）和（五）；合并中同一控制下且不需要支付对价的合并，只需填写条件（一）、（二）、（三）和（五）。</w:t>
            </w:r>
          </w:p>
        </w:tc>
      </w:tr>
      <w:tr w:rsidR="00FD240B" w:rsidRPr="00441914" w:rsidTr="00F66CF9">
        <w:trPr>
          <w:trHeight w:val="450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3.本表一式两份，重组当事方及其所属主管税务机关各一份。</w:t>
            </w:r>
          </w:p>
        </w:tc>
      </w:tr>
      <w:tr w:rsidR="00FD240B" w:rsidRPr="00441914" w:rsidTr="00F66CF9">
        <w:trPr>
          <w:trHeight w:val="1845"/>
        </w:trPr>
        <w:tc>
          <w:tcPr>
            <w:tcW w:w="10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4.除法律形式简单改变外，重组各方应在该重组业务完成当年，办理企业所得税年度申报时，分别向各自主管税务机关报送《企业重组所得税特殊性税务处理报告表及附表》和申报资料。合并、分立中重组一方涉及注销的，应在尚未办理注销税务登记手续前进行申报。重组主导方申报后，其他当事方向其主管税务机关办理纳税申报。申报时还应附送重组主导方经主管税务机关受理的《企业重组所得税特殊性税务处理报告表及 附 表》（复印件）。</w:t>
            </w:r>
          </w:p>
        </w:tc>
      </w:tr>
    </w:tbl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Default="00FD240B" w:rsidP="00FD240B">
      <w:pPr>
        <w:rPr>
          <w:rFonts w:ascii="Calibri" w:eastAsia="仿宋_GB2312" w:hAnsi="Calibri"/>
          <w:sz w:val="28"/>
          <w:szCs w:val="28"/>
        </w:rPr>
        <w:sectPr w:rsidR="00FD240B" w:rsidSect="009C22C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9165" w:type="dxa"/>
        <w:tblInd w:w="108" w:type="dxa"/>
        <w:tblLook w:val="04A0"/>
      </w:tblPr>
      <w:tblGrid>
        <w:gridCol w:w="709"/>
        <w:gridCol w:w="994"/>
        <w:gridCol w:w="849"/>
        <w:gridCol w:w="271"/>
        <w:gridCol w:w="1022"/>
        <w:gridCol w:w="458"/>
        <w:gridCol w:w="629"/>
        <w:gridCol w:w="1451"/>
        <w:gridCol w:w="629"/>
        <w:gridCol w:w="218"/>
        <w:gridCol w:w="753"/>
        <w:gridCol w:w="1182"/>
      </w:tblGrid>
      <w:tr w:rsidR="00FD240B" w:rsidRPr="00441914" w:rsidTr="00F66CF9">
        <w:trPr>
          <w:trHeight w:val="510"/>
        </w:trPr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bookmarkStart w:id="0" w:name="RANGE!A1:G26"/>
            <w:r w:rsidRPr="00441914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附件1-1</w:t>
            </w:r>
            <w:bookmarkEnd w:id="0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FD240B" w:rsidRPr="00441914" w:rsidTr="00F66CF9">
        <w:trPr>
          <w:trHeight w:val="615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企业重组所得税特殊性税务处理报告表(债务重组)</w:t>
            </w:r>
          </w:p>
        </w:tc>
      </w:tr>
      <w:tr w:rsidR="00FD240B" w:rsidRPr="00441914" w:rsidTr="00F66CF9">
        <w:trPr>
          <w:trHeight w:val="480"/>
        </w:trPr>
        <w:tc>
          <w:tcPr>
            <w:tcW w:w="43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申报企业名称(盖章)：</w:t>
            </w:r>
          </w:p>
        </w:tc>
        <w:tc>
          <w:tcPr>
            <w:tcW w:w="486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金额单位：元（列至角分）</w:t>
            </w:r>
          </w:p>
        </w:tc>
      </w:tr>
      <w:tr w:rsidR="00FD240B" w:rsidRPr="00441914" w:rsidTr="00F66CF9">
        <w:trPr>
          <w:trHeight w:val="375"/>
        </w:trPr>
        <w:tc>
          <w:tcPr>
            <w:tcW w:w="17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债务人名称</w:t>
            </w:r>
          </w:p>
        </w:tc>
        <w:tc>
          <w:tcPr>
            <w:tcW w:w="26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债务人纳税识别号</w:t>
            </w:r>
          </w:p>
        </w:tc>
        <w:tc>
          <w:tcPr>
            <w:tcW w:w="486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债务人所属主管税务机关（全称）</w:t>
            </w:r>
          </w:p>
        </w:tc>
      </w:tr>
      <w:tr w:rsidR="00FD240B" w:rsidRPr="00441914" w:rsidTr="00F66CF9">
        <w:trPr>
          <w:trHeight w:val="40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40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债权人名称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债权人纳税识别号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债权人所属主管税务机关（全称）</w:t>
            </w:r>
          </w:p>
        </w:tc>
      </w:tr>
      <w:tr w:rsidR="00FD240B" w:rsidRPr="00441914" w:rsidTr="00F66CF9">
        <w:trPr>
          <w:trHeight w:val="420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510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债务重组方式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  重组所得超过应纳税所得额50%</w:t>
            </w:r>
          </w:p>
        </w:tc>
        <w:tc>
          <w:tcPr>
            <w:tcW w:w="27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  债转股</w:t>
            </w:r>
          </w:p>
        </w:tc>
      </w:tr>
      <w:tr w:rsidR="00FD240B" w:rsidRPr="00441914" w:rsidTr="00F66CF9">
        <w:trPr>
          <w:trHeight w:val="480"/>
        </w:trPr>
        <w:tc>
          <w:tcPr>
            <w:tcW w:w="430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债务人重组业务涉及的债务账面价值</w:t>
            </w:r>
          </w:p>
        </w:tc>
        <w:tc>
          <w:tcPr>
            <w:tcW w:w="486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9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债务人重组业务涉及的债务计税基础（1）</w:t>
            </w:r>
          </w:p>
        </w:tc>
        <w:tc>
          <w:tcPr>
            <w:tcW w:w="12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其中：①应付账款计税基础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3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②其他应付款计税基础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3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③借款计税基础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④其他债务计税基础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4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除债转股方式外的债务重组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债务人用于偿付债务的资产公允价值（2）</w:t>
            </w:r>
          </w:p>
        </w:tc>
        <w:tc>
          <w:tcPr>
            <w:tcW w:w="12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其中：①现金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②银行存款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③非货币资产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④其他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85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债务人债务重组所得（3）=（1）-（2）</w:t>
            </w:r>
          </w:p>
        </w:tc>
        <w:tc>
          <w:tcPr>
            <w:tcW w:w="66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债务人本年度应纳税所得额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债务重组所得占本年度应纳税所得额的比重%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109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债转股方式的债务重组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债权人债转股后所拥有的股权占债务人全部股权比例%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债转股取得股权的公允价值（4）</w:t>
            </w:r>
          </w:p>
        </w:tc>
        <w:tc>
          <w:tcPr>
            <w:tcW w:w="21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117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债权人原债权的计税基础（即股权的计税基础）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债务人暂不确认的债务重组所得（5）=（1）-（4）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765"/>
        </w:trPr>
        <w:tc>
          <w:tcPr>
            <w:tcW w:w="9165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</w:tc>
      </w:tr>
      <w:tr w:rsidR="00FD240B" w:rsidRPr="00441914" w:rsidTr="00F66CF9">
        <w:trPr>
          <w:trHeight w:val="465"/>
        </w:trPr>
        <w:tc>
          <w:tcPr>
            <w:tcW w:w="916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法定代表人签章：                            年    月   日  </w:t>
            </w:r>
          </w:p>
        </w:tc>
      </w:tr>
      <w:tr w:rsidR="00FD240B" w:rsidRPr="00441914" w:rsidTr="00F66CF9">
        <w:trPr>
          <w:trHeight w:val="390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填表人：                                      填表日期： </w:t>
            </w:r>
          </w:p>
        </w:tc>
      </w:tr>
      <w:tr w:rsidR="00FD240B" w:rsidRPr="00441914" w:rsidTr="00F66CF9">
        <w:trPr>
          <w:trHeight w:val="405"/>
        </w:trPr>
        <w:tc>
          <w:tcPr>
            <w:tcW w:w="9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A1773E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填表说明：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本表一式两份,债务人（债权人）及其所属主管税务机关各一份。</w:t>
            </w:r>
          </w:p>
        </w:tc>
      </w:tr>
    </w:tbl>
    <w:p w:rsidR="00FD240B" w:rsidRDefault="00FD240B" w:rsidP="00FD240B">
      <w:pPr>
        <w:widowControl/>
        <w:jc w:val="left"/>
        <w:rPr>
          <w:rFonts w:ascii="黑体" w:eastAsia="黑体" w:hAnsi="宋体" w:cs="宋体"/>
          <w:kern w:val="0"/>
          <w:sz w:val="24"/>
        </w:rPr>
        <w:sectPr w:rsidR="00FD240B" w:rsidSect="009C22C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1" w:name="RANGE!A1:I41"/>
    </w:p>
    <w:tbl>
      <w:tblPr>
        <w:tblW w:w="13892" w:type="dxa"/>
        <w:tblInd w:w="108" w:type="dxa"/>
        <w:tblLook w:val="04A0"/>
      </w:tblPr>
      <w:tblGrid>
        <w:gridCol w:w="456"/>
        <w:gridCol w:w="1307"/>
        <w:gridCol w:w="364"/>
        <w:gridCol w:w="708"/>
        <w:gridCol w:w="68"/>
        <w:gridCol w:w="1208"/>
        <w:gridCol w:w="332"/>
        <w:gridCol w:w="377"/>
        <w:gridCol w:w="709"/>
        <w:gridCol w:w="214"/>
        <w:gridCol w:w="636"/>
        <w:gridCol w:w="567"/>
        <w:gridCol w:w="617"/>
        <w:gridCol w:w="1060"/>
        <w:gridCol w:w="166"/>
        <w:gridCol w:w="832"/>
        <w:gridCol w:w="456"/>
        <w:gridCol w:w="834"/>
        <w:gridCol w:w="146"/>
        <w:gridCol w:w="142"/>
        <w:gridCol w:w="992"/>
        <w:gridCol w:w="425"/>
        <w:gridCol w:w="851"/>
        <w:gridCol w:w="425"/>
      </w:tblGrid>
      <w:tr w:rsidR="00FD240B" w:rsidRPr="00441914" w:rsidTr="00F66CF9">
        <w:trPr>
          <w:gridAfter w:val="7"/>
          <w:wAfter w:w="3815" w:type="dxa"/>
          <w:trHeight w:val="285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Default="00FD240B" w:rsidP="00F66CF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FD240B" w:rsidRPr="00441914" w:rsidRDefault="00FD240B" w:rsidP="00F66CF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 w:rsidRPr="00441914">
              <w:rPr>
                <w:rFonts w:ascii="黑体" w:eastAsia="黑体" w:hAnsi="宋体" w:cs="宋体" w:hint="eastAsia"/>
                <w:kern w:val="0"/>
                <w:sz w:val="24"/>
              </w:rPr>
              <w:t>附件1-2</w:t>
            </w:r>
            <w:bookmarkEnd w:id="1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1"/>
          <w:wAfter w:w="425" w:type="dxa"/>
          <w:trHeight w:val="645"/>
        </w:trPr>
        <w:tc>
          <w:tcPr>
            <w:tcW w:w="1346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企业重组所得税特殊性税务处理报告表(股权收购)</w:t>
            </w:r>
          </w:p>
        </w:tc>
      </w:tr>
      <w:tr w:rsidR="00FD240B" w:rsidRPr="00441914" w:rsidTr="00F66CF9">
        <w:trPr>
          <w:gridAfter w:val="1"/>
          <w:wAfter w:w="425" w:type="dxa"/>
          <w:trHeight w:val="345"/>
        </w:trPr>
        <w:tc>
          <w:tcPr>
            <w:tcW w:w="482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申报企业名称(盖章)：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金额单位：元（列至角分）</w:t>
            </w:r>
          </w:p>
        </w:tc>
      </w:tr>
      <w:tr w:rsidR="00FD240B" w:rsidRPr="00441914" w:rsidTr="00F66CF9">
        <w:trPr>
          <w:gridAfter w:val="1"/>
          <w:wAfter w:w="425" w:type="dxa"/>
          <w:trHeight w:val="810"/>
        </w:trPr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被收购企业名称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被收购企业纳税识别号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被收购企业所属主管税务机关（全称）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795"/>
        </w:trPr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股权收购方名称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股权收购方纳税识别号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股权收购方所属主管税务机关（全称）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600"/>
        </w:trPr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股权转让方1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（被收购企业的股东）名称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转让被收购企业股权占被收购企业全部股权的比例% 1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股权转让方1所属主管税务机关（全称）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600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股权转让方1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（被收购企业的股东）纳税识别号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1"/>
          <w:wAfter w:w="425" w:type="dxa"/>
          <w:trHeight w:val="645"/>
        </w:trPr>
        <w:tc>
          <w:tcPr>
            <w:tcW w:w="212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股权转让方2（被收购企业的股东）名称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转让被收购企业股权占被收购企业全部股权的比例% 2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股权转让方2所属主管税务机关（全称）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630"/>
        </w:trPr>
        <w:tc>
          <w:tcPr>
            <w:tcW w:w="21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股权转让方2（被收购企业的股东）纳税识别号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1"/>
          <w:wAfter w:w="425" w:type="dxa"/>
          <w:trHeight w:val="630"/>
        </w:trPr>
        <w:tc>
          <w:tcPr>
            <w:tcW w:w="482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股权收购方购买的股权占被收购企业全部股权的比例%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股权收购方股权支付金额占交易支付总额的比例% </w:t>
            </w:r>
          </w:p>
        </w:tc>
        <w:tc>
          <w:tcPr>
            <w:tcW w:w="467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480"/>
        </w:trPr>
        <w:tc>
          <w:tcPr>
            <w:tcW w:w="1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股权收购交易支付总额</w:t>
            </w:r>
          </w:p>
        </w:tc>
        <w:tc>
          <w:tcPr>
            <w:tcW w:w="2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其中：股权支付额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</w:t>
            </w:r>
          </w:p>
        </w:tc>
        <w:tc>
          <w:tcPr>
            <w:tcW w:w="2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1050"/>
        </w:trPr>
        <w:tc>
          <w:tcPr>
            <w:tcW w:w="176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股权转让合同（协议）生效日</w:t>
            </w:r>
          </w:p>
        </w:tc>
        <w:tc>
          <w:tcPr>
            <w:tcW w:w="234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股权收购方所收购股权的工商变更登记日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转让方与收购方是否为关联企业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□否</w:t>
            </w:r>
          </w:p>
        </w:tc>
      </w:tr>
      <w:tr w:rsidR="00FD240B" w:rsidRPr="00441914" w:rsidTr="00F66CF9">
        <w:trPr>
          <w:gridAfter w:val="1"/>
          <w:wAfter w:w="425" w:type="dxa"/>
          <w:trHeight w:val="660"/>
        </w:trPr>
        <w:tc>
          <w:tcPr>
            <w:tcW w:w="411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被收购企业原有各项资产和负债的计税基础是否保持不变</w:t>
            </w:r>
          </w:p>
        </w:tc>
        <w:tc>
          <w:tcPr>
            <w:tcW w:w="467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□是</w:t>
            </w:r>
          </w:p>
        </w:tc>
        <w:tc>
          <w:tcPr>
            <w:tcW w:w="467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□否</w:t>
            </w:r>
          </w:p>
        </w:tc>
      </w:tr>
      <w:tr w:rsidR="00FD240B" w:rsidRPr="00441914" w:rsidTr="00F66CF9">
        <w:trPr>
          <w:gridAfter w:val="1"/>
          <w:wAfter w:w="425" w:type="dxa"/>
          <w:trHeight w:val="300"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股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权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转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让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方  1</w:t>
            </w: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67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实际取得股权及其他资产</w:t>
            </w:r>
          </w:p>
        </w:tc>
      </w:tr>
      <w:tr w:rsidR="00FD240B" w:rsidRPr="00441914" w:rsidTr="00F66CF9">
        <w:trPr>
          <w:gridAfter w:val="1"/>
          <w:wAfter w:w="425" w:type="dxa"/>
          <w:trHeight w:val="525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gridAfter w:val="1"/>
          <w:wAfter w:w="425" w:type="dxa"/>
          <w:trHeight w:val="360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转让被收购企业股权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315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345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345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股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权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转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让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方  2</w:t>
            </w: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67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实际取得股权及其他资产</w:t>
            </w:r>
          </w:p>
        </w:tc>
      </w:tr>
      <w:tr w:rsidR="00FD240B" w:rsidRPr="00441914" w:rsidTr="00F66CF9">
        <w:trPr>
          <w:gridAfter w:val="1"/>
          <w:wAfter w:w="425" w:type="dxa"/>
          <w:trHeight w:val="570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gridAfter w:val="1"/>
          <w:wAfter w:w="425" w:type="dxa"/>
          <w:trHeight w:val="34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转让被收购企业股权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34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57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gridAfter w:val="1"/>
          <w:wAfter w:w="425" w:type="dxa"/>
          <w:trHeight w:val="15"/>
        </w:trPr>
        <w:tc>
          <w:tcPr>
            <w:tcW w:w="456" w:type="dxa"/>
            <w:tcBorders>
              <w:top w:val="single" w:sz="2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2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30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股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权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收 购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方</w:t>
            </w:r>
          </w:p>
        </w:tc>
        <w:tc>
          <w:tcPr>
            <w:tcW w:w="2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账面价值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原计税基础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实际取得股权及其他资产</w:t>
            </w:r>
          </w:p>
        </w:tc>
      </w:tr>
      <w:tr w:rsidR="00FD240B" w:rsidRPr="00441914" w:rsidTr="00F66CF9">
        <w:trPr>
          <w:trHeight w:val="570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trHeight w:val="300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1.股权支付额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5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被收购企业股权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（1）本企业股权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7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（2）其控股企业股权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19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宋体" w:hAnsi="宋体" w:cs="宋体" w:hint="eastAsia"/>
                <w:kern w:val="0"/>
                <w:sz w:val="24"/>
              </w:rPr>
              <w:t>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19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289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41914">
              <w:rPr>
                <w:rFonts w:ascii="宋体" w:hAnsi="宋体" w:cs="宋体" w:hint="eastAsia"/>
                <w:kern w:val="0"/>
                <w:sz w:val="24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2.非股权支付额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7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合计（1+2）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570"/>
        </w:trPr>
        <w:tc>
          <w:tcPr>
            <w:tcW w:w="13892" w:type="dxa"/>
            <w:gridSpan w:val="2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</w:tc>
      </w:tr>
      <w:tr w:rsidR="00FD240B" w:rsidRPr="00441914" w:rsidTr="00F66CF9">
        <w:trPr>
          <w:trHeight w:val="345"/>
        </w:trPr>
        <w:tc>
          <w:tcPr>
            <w:tcW w:w="13892" w:type="dxa"/>
            <w:gridSpan w:val="2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法定代表人签章：                     年    月   日</w:t>
            </w:r>
          </w:p>
        </w:tc>
      </w:tr>
      <w:tr w:rsidR="00FD240B" w:rsidRPr="00441914" w:rsidTr="00F66CF9">
        <w:trPr>
          <w:gridAfter w:val="7"/>
          <w:wAfter w:w="3815" w:type="dxa"/>
          <w:trHeight w:val="270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填表人：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填表日期：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7"/>
          <w:wAfter w:w="3815" w:type="dxa"/>
          <w:trHeight w:val="319"/>
        </w:trPr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填表说明：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1.若一笔股权收购交易涉及两个以上股权转让方的，应自行增加行次填写。</w:t>
            </w:r>
          </w:p>
        </w:tc>
      </w:tr>
      <w:tr w:rsidR="00FD240B" w:rsidRPr="00441914" w:rsidTr="00F66CF9">
        <w:trPr>
          <w:trHeight w:val="330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2.若股权收购业务较复杂，本表不能充分反映企业实际情况，企业可自行补充说明。</w:t>
            </w:r>
          </w:p>
        </w:tc>
      </w:tr>
      <w:tr w:rsidR="00FD240B" w:rsidRPr="00441914" w:rsidTr="00F66CF9">
        <w:trPr>
          <w:trHeight w:val="375"/>
        </w:trPr>
        <w:tc>
          <w:tcPr>
            <w:tcW w:w="138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3.本表一式两份。股权转让方（股权收购方、被收购企业）及其所属主管税务机关各一份。</w:t>
            </w:r>
          </w:p>
        </w:tc>
      </w:tr>
    </w:tbl>
    <w:p w:rsidR="00FD240B" w:rsidRDefault="00FD240B" w:rsidP="00FD240B">
      <w:pPr>
        <w:widowControl/>
        <w:jc w:val="left"/>
        <w:rPr>
          <w:rFonts w:ascii="黑体" w:eastAsia="黑体" w:hAnsi="宋体" w:cs="宋体"/>
          <w:kern w:val="0"/>
          <w:sz w:val="24"/>
        </w:rPr>
        <w:sectPr w:rsidR="00FD240B" w:rsidSect="009C22C1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12"/>
        </w:sectPr>
      </w:pPr>
      <w:bookmarkStart w:id="2" w:name="RANGE!A1:I33"/>
    </w:p>
    <w:tbl>
      <w:tblPr>
        <w:tblW w:w="14190" w:type="dxa"/>
        <w:tblInd w:w="93" w:type="dxa"/>
        <w:tblLayout w:type="fixed"/>
        <w:tblLook w:val="04A0"/>
      </w:tblPr>
      <w:tblGrid>
        <w:gridCol w:w="457"/>
        <w:gridCol w:w="2393"/>
        <w:gridCol w:w="396"/>
        <w:gridCol w:w="1060"/>
        <w:gridCol w:w="387"/>
        <w:gridCol w:w="69"/>
        <w:gridCol w:w="1065"/>
        <w:gridCol w:w="450"/>
        <w:gridCol w:w="696"/>
        <w:gridCol w:w="236"/>
        <w:gridCol w:w="177"/>
        <w:gridCol w:w="691"/>
        <w:gridCol w:w="585"/>
        <w:gridCol w:w="1015"/>
        <w:gridCol w:w="119"/>
        <w:gridCol w:w="885"/>
        <w:gridCol w:w="276"/>
        <w:gridCol w:w="338"/>
        <w:gridCol w:w="118"/>
        <w:gridCol w:w="84"/>
        <w:gridCol w:w="377"/>
        <w:gridCol w:w="350"/>
        <w:gridCol w:w="407"/>
        <w:gridCol w:w="142"/>
        <w:gridCol w:w="1417"/>
      </w:tblGrid>
      <w:tr w:rsidR="00FD240B" w:rsidRPr="00441914" w:rsidTr="00F66CF9">
        <w:trPr>
          <w:gridAfter w:val="4"/>
          <w:wAfter w:w="2316" w:type="dxa"/>
          <w:trHeight w:val="285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 w:rsidRPr="00441914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附件1-3</w:t>
            </w:r>
            <w:bookmarkEnd w:id="2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645"/>
        </w:trPr>
        <w:tc>
          <w:tcPr>
            <w:tcW w:w="1419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企业重组所得税特殊性税务处理报告表(资产收购)</w:t>
            </w:r>
          </w:p>
        </w:tc>
      </w:tr>
      <w:tr w:rsidR="00FD240B" w:rsidRPr="00441914" w:rsidTr="00F66CF9">
        <w:trPr>
          <w:trHeight w:val="402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ind w:rightChars="-119" w:right="-25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申报企业名称(盖章)：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9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金额单位：元（列至角分）</w:t>
            </w:r>
          </w:p>
        </w:tc>
      </w:tr>
      <w:tr w:rsidR="00FD240B" w:rsidRPr="00441914" w:rsidTr="00F66CF9">
        <w:trPr>
          <w:trHeight w:val="450"/>
        </w:trPr>
        <w:tc>
          <w:tcPr>
            <w:tcW w:w="2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资产转让方名称</w:t>
            </w:r>
          </w:p>
        </w:tc>
        <w:tc>
          <w:tcPr>
            <w:tcW w:w="453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资产转让方所属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主管税务机关（全称）</w:t>
            </w:r>
          </w:p>
        </w:tc>
        <w:tc>
          <w:tcPr>
            <w:tcW w:w="4394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62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资产转让方纳税识别号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94" w:type="dxa"/>
            <w:gridSpan w:val="10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1334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资产转让方全部资产的公允价值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资产转让方所转让资产的公允价值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所转让资产占资产转让方全部资产的比例%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97"/>
        </w:trPr>
        <w:tc>
          <w:tcPr>
            <w:tcW w:w="2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资产受让方名称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资产受让方所属主管税务机关（全称）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股权支付金额占交易支付总额的比例%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1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资产受让方纳税识别号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35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5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资产收购交易支付总额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其中：股权支付额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3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5"/>
        </w:trPr>
        <w:tc>
          <w:tcPr>
            <w:tcW w:w="4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产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转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让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方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项目名称（按大类）</w:t>
            </w:r>
          </w:p>
        </w:tc>
        <w:tc>
          <w:tcPr>
            <w:tcW w:w="1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5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账面价值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原计税基础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39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实际取得股权及其他资产</w:t>
            </w:r>
          </w:p>
        </w:tc>
      </w:tr>
      <w:tr w:rsidR="00FD240B" w:rsidRPr="00441914" w:rsidTr="00F66CF9">
        <w:trPr>
          <w:trHeight w:val="51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trHeight w:val="37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3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3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转让资产合计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495"/>
        </w:trPr>
        <w:tc>
          <w:tcPr>
            <w:tcW w:w="457" w:type="dxa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资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产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受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让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方</w:t>
            </w:r>
          </w:p>
        </w:tc>
        <w:tc>
          <w:tcPr>
            <w:tcW w:w="2393" w:type="dxa"/>
            <w:vMerge w:val="restart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账面价值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原计税基础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394" w:type="dxa"/>
            <w:gridSpan w:val="10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实际取得股权及其他资产</w:t>
            </w:r>
          </w:p>
        </w:tc>
      </w:tr>
      <w:tr w:rsidR="00FD240B" w:rsidRPr="00441914" w:rsidTr="00F66CF9">
        <w:trPr>
          <w:trHeight w:val="5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（按大类）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1.股权支付额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（1）本企业股权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（2）其控股企业股权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宋体" w:hAnsi="宋体" w:cs="宋体" w:hint="eastAsia"/>
                <w:kern w:val="0"/>
                <w:sz w:val="24"/>
              </w:rPr>
              <w:t>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②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41914">
              <w:rPr>
                <w:rFonts w:ascii="宋体" w:hAnsi="宋体" w:cs="宋体" w:hint="eastAsia"/>
                <w:kern w:val="0"/>
                <w:sz w:val="24"/>
              </w:rPr>
              <w:t>…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285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2.非股权支付额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90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合计（1+2)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35"/>
        </w:trPr>
        <w:tc>
          <w:tcPr>
            <w:tcW w:w="58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是否存在资产收购涉及项目所得的税收优惠承继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优惠已执行年限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优惠剩余年限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495"/>
        </w:trPr>
        <w:tc>
          <w:tcPr>
            <w:tcW w:w="14190" w:type="dxa"/>
            <w:gridSpan w:val="2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谨声明：本人知悉并保证本表填报内容及所附证明材料真实、完整，并承担因资料虚假而产生的法律和行政责任。                            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</w:p>
        </w:tc>
      </w:tr>
      <w:tr w:rsidR="00FD240B" w:rsidRPr="00441914" w:rsidTr="00F66CF9">
        <w:trPr>
          <w:trHeight w:val="80"/>
        </w:trPr>
        <w:tc>
          <w:tcPr>
            <w:tcW w:w="14190" w:type="dxa"/>
            <w:gridSpan w:val="2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法定代表人签章：            年  月  日</w:t>
            </w:r>
          </w:p>
        </w:tc>
      </w:tr>
      <w:tr w:rsidR="00FD240B" w:rsidRPr="00441914" w:rsidTr="00F66CF9">
        <w:trPr>
          <w:gridAfter w:val="3"/>
          <w:wAfter w:w="1966" w:type="dxa"/>
          <w:trHeight w:val="705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填表人：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填表日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期：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3"/>
          <w:wAfter w:w="1966" w:type="dxa"/>
          <w:trHeight w:val="330"/>
        </w:trPr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填表说明：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gridAfter w:val="9"/>
          <w:wAfter w:w="3509" w:type="dxa"/>
          <w:trHeight w:val="315"/>
        </w:trPr>
        <w:tc>
          <w:tcPr>
            <w:tcW w:w="106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1.若资产收购业务较复杂，本表不能充分反映企业实际情况，企业可自行补充说明。</w:t>
            </w:r>
          </w:p>
        </w:tc>
      </w:tr>
      <w:tr w:rsidR="00FD240B" w:rsidRPr="00441914" w:rsidTr="00F66CF9">
        <w:trPr>
          <w:gridAfter w:val="9"/>
          <w:wAfter w:w="3509" w:type="dxa"/>
          <w:trHeight w:val="330"/>
        </w:trPr>
        <w:tc>
          <w:tcPr>
            <w:tcW w:w="106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2.本表一式两份。资产转让方（资产受让方）及其所属主管税务机关各一份。</w:t>
            </w:r>
          </w:p>
        </w:tc>
      </w:tr>
    </w:tbl>
    <w:p w:rsidR="00FD240B" w:rsidRDefault="00FD240B" w:rsidP="00FD240B">
      <w:pPr>
        <w:widowControl/>
        <w:jc w:val="left"/>
        <w:rPr>
          <w:rFonts w:ascii="黑体" w:eastAsia="黑体" w:hAnsi="宋体" w:cs="宋体"/>
          <w:kern w:val="0"/>
          <w:sz w:val="24"/>
        </w:rPr>
        <w:sectPr w:rsidR="00FD240B" w:rsidSect="009C22C1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tbl>
      <w:tblPr>
        <w:tblW w:w="9923" w:type="dxa"/>
        <w:tblInd w:w="-34" w:type="dxa"/>
        <w:tblLook w:val="04A0"/>
      </w:tblPr>
      <w:tblGrid>
        <w:gridCol w:w="2408"/>
        <w:gridCol w:w="1420"/>
        <w:gridCol w:w="160"/>
        <w:gridCol w:w="1165"/>
        <w:gridCol w:w="234"/>
        <w:gridCol w:w="1178"/>
        <w:gridCol w:w="665"/>
        <w:gridCol w:w="567"/>
        <w:gridCol w:w="1670"/>
        <w:gridCol w:w="456"/>
      </w:tblGrid>
      <w:tr w:rsidR="00FD240B" w:rsidRPr="00441914" w:rsidTr="00F66CF9">
        <w:trPr>
          <w:trHeight w:val="285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DC594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 w:rsidRPr="00441914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附件</w:t>
            </w:r>
            <w:r w:rsidR="00DC5949">
              <w:rPr>
                <w:rFonts w:ascii="黑体" w:eastAsia="黑体" w:hAnsi="宋体" w:cs="宋体" w:hint="eastAsia"/>
                <w:kern w:val="0"/>
                <w:sz w:val="24"/>
              </w:rPr>
              <w:t>1-4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64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企业重组所得税特殊性税务处理报告表(企业合并)</w:t>
            </w:r>
          </w:p>
        </w:tc>
      </w:tr>
      <w:tr w:rsidR="00FD240B" w:rsidRPr="00441914" w:rsidTr="00F66CF9">
        <w:trPr>
          <w:trHeight w:val="402"/>
        </w:trPr>
        <w:tc>
          <w:tcPr>
            <w:tcW w:w="992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申报企业名称(盖章)：                                 金额单位：元（列至角分）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合并企业名称 </w:t>
            </w:r>
          </w:p>
        </w:tc>
        <w:tc>
          <w:tcPr>
            <w:tcW w:w="297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合并企业纳税识别号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合并企业所属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主管税务机关（全称）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被合并企业名称</w:t>
            </w:r>
          </w:p>
        </w:tc>
        <w:tc>
          <w:tcPr>
            <w:tcW w:w="297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被合并企业纳税识别号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被合并企业所属主管税务机关（全称）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</w:tr>
      <w:tr w:rsidR="00FD240B" w:rsidRPr="00441914" w:rsidTr="00F66CF9">
        <w:trPr>
          <w:trHeight w:val="405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被合并企业股东名称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纳税识别号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持股比例%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被合并企业股东所属主管税务机关（全称）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</w:tr>
      <w:tr w:rsidR="00FD240B" w:rsidRPr="00441914" w:rsidTr="00F66CF9">
        <w:trPr>
          <w:trHeight w:val="330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FD240B" w:rsidRPr="00441914" w:rsidTr="00F66CF9">
        <w:trPr>
          <w:trHeight w:val="401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合并交易的支付总额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股权支付额占交易支付总额的比例%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60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股权支付额（公允价值）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股权支付额（原计税基础）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56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非股权支付额（公允价值）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非股权支付额（原计税基础）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922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是否为同一控制下且不需要支付对价的合并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 是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□ 否</w:t>
            </w:r>
          </w:p>
        </w:tc>
        <w:tc>
          <w:tcPr>
            <w:tcW w:w="2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63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被合并企业税前尚未弥补的亏损额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被合并企业净资产公允价值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82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截至合并业务发生当年年末国家发行的最长期限的国债利率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可由合并企业弥补的被合并企业亏损的限额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58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被合并企业资产的原计税基础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合并企业接受被合并企业资产的计税基础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12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被合并企业负债的原计税基础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合并企业接受被合并企业负债的计税基础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9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未确认的资产损失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41914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分期确认的收入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90"/>
        </w:trPr>
        <w:tc>
          <w:tcPr>
            <w:tcW w:w="51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被合并企业有关项目所得优惠的剩余期限</w:t>
            </w:r>
          </w:p>
        </w:tc>
        <w:tc>
          <w:tcPr>
            <w:tcW w:w="477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年至              年</w:t>
            </w:r>
          </w:p>
        </w:tc>
      </w:tr>
      <w:tr w:rsidR="00FD240B" w:rsidRPr="00441914" w:rsidTr="00F66CF9">
        <w:trPr>
          <w:trHeight w:val="585"/>
        </w:trPr>
        <w:tc>
          <w:tcPr>
            <w:tcW w:w="992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被合并企业股东取得股权和其他资产情况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股东名称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4157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02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6" w:type="dxa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55"/>
        </w:trPr>
        <w:tc>
          <w:tcPr>
            <w:tcW w:w="9923" w:type="dxa"/>
            <w:gridSpan w:val="10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D240B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</w:p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90"/>
        </w:trPr>
        <w:tc>
          <w:tcPr>
            <w:tcW w:w="992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法定代表人签章：            年  月  日</w:t>
            </w:r>
          </w:p>
        </w:tc>
      </w:tr>
      <w:tr w:rsidR="00FD240B" w:rsidRPr="00441914" w:rsidTr="00F66CF9">
        <w:trPr>
          <w:trHeight w:val="402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填表人：                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填表日期：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7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填表说明：</w:t>
            </w:r>
          </w:p>
        </w:tc>
      </w:tr>
      <w:tr w:rsidR="00FD240B" w:rsidRPr="00441914" w:rsidTr="00F66CF9">
        <w:trPr>
          <w:trHeight w:val="34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1.合并企业名称，吸收合并为合并后存续的企业，新设合并为新设企业。</w:t>
            </w:r>
          </w:p>
        </w:tc>
      </w:tr>
      <w:tr w:rsidR="00FD240B" w:rsidRPr="00441914" w:rsidTr="00F66CF9">
        <w:trPr>
          <w:trHeight w:val="34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2.被合并企业为两家以上的，应自行增加行次填写。</w:t>
            </w:r>
          </w:p>
        </w:tc>
      </w:tr>
      <w:tr w:rsidR="00FD240B" w:rsidRPr="00441914" w:rsidTr="00F66CF9">
        <w:trPr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3.若企业合并业务较复杂，本表不能充分反映企业实际情况，企业可自行补充说明。</w:t>
            </w:r>
          </w:p>
        </w:tc>
      </w:tr>
      <w:tr w:rsidR="00FD240B" w:rsidRPr="00441914" w:rsidTr="00F66CF9">
        <w:trPr>
          <w:trHeight w:val="37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4.本表一式两份。合并企业（被合并企业、被合并企业股东）及其所属主管税务机关各一份。</w:t>
            </w:r>
          </w:p>
        </w:tc>
      </w:tr>
    </w:tbl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2709"/>
        <w:gridCol w:w="71"/>
        <w:gridCol w:w="1060"/>
        <w:gridCol w:w="144"/>
        <w:gridCol w:w="993"/>
        <w:gridCol w:w="1123"/>
        <w:gridCol w:w="1003"/>
        <w:gridCol w:w="850"/>
        <w:gridCol w:w="627"/>
        <w:gridCol w:w="933"/>
      </w:tblGrid>
      <w:tr w:rsidR="00FD240B" w:rsidRPr="00441914" w:rsidTr="00F66CF9">
        <w:trPr>
          <w:trHeight w:val="285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 w:rsidRPr="00441914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附件1-5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435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企业重组所得税特殊性税务处理报告表(企业分立)</w:t>
            </w:r>
          </w:p>
        </w:tc>
      </w:tr>
      <w:tr w:rsidR="00FD240B" w:rsidRPr="00441914" w:rsidTr="00F66CF9">
        <w:trPr>
          <w:trHeight w:val="450"/>
        </w:trPr>
        <w:tc>
          <w:tcPr>
            <w:tcW w:w="951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申报企业名称(盖章)：       金额单位：元（列至角分）</w:t>
            </w:r>
          </w:p>
        </w:tc>
      </w:tr>
      <w:tr w:rsidR="00FD240B" w:rsidRPr="00441914" w:rsidTr="00F66CF9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被分立企业名称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被分立企业纳税识别号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162997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净资产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被分立企业股东名称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持股比例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股权公允价值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股权原计税基础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被分立企业股东所属主管税务机关（全称）</w:t>
            </w:r>
          </w:p>
        </w:tc>
      </w:tr>
      <w:tr w:rsidR="00FD240B" w:rsidRPr="00441914" w:rsidTr="00F66CF9">
        <w:trPr>
          <w:trHeight w:val="31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分立企业1名称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分立企业1所属主管税务机关（全称）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分立企业1纳税识别号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净资产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分立企业2名称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分立企业2所属主管税务机关（全称）</w:t>
            </w: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1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分立企业2纳税识别号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资产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负债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净资产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36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分立交易的支付总额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股权支付额占交易支付总额的比例%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8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股权支付额（公允价值）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股权支付额（原计税基础）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非股权支付额（公允价值）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非股权支付额（原计税基础）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645"/>
        </w:trPr>
        <w:tc>
          <w:tcPr>
            <w:tcW w:w="49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非股权支付对应的资产转让所得或损失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 w:rsidRPr="00441914">
              <w:rPr>
                <w:rFonts w:ascii="Courier New" w:hAnsi="Courier New" w:cs="Courier New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705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被分立企业分立资产公允价值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被分立企业全部资产公允价值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624"/>
        </w:trPr>
        <w:tc>
          <w:tcPr>
            <w:tcW w:w="27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被分立企业未超过法定弥补期限的亏损额</w:t>
            </w:r>
          </w:p>
        </w:tc>
        <w:tc>
          <w:tcPr>
            <w:tcW w:w="2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0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分立企业可弥补的被分立企业尚未弥补的亏损额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624"/>
        </w:trPr>
        <w:tc>
          <w:tcPr>
            <w:tcW w:w="27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0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840"/>
        </w:trPr>
        <w:tc>
          <w:tcPr>
            <w:tcW w:w="278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未确认的资产损失</w:t>
            </w:r>
          </w:p>
        </w:tc>
        <w:tc>
          <w:tcPr>
            <w:tcW w:w="2197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03" w:type="dxa"/>
            <w:gridSpan w:val="4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分期确认的收入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450"/>
        </w:trPr>
        <w:tc>
          <w:tcPr>
            <w:tcW w:w="951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被分立企业股东取得股权和其他资产情况</w:t>
            </w:r>
          </w:p>
        </w:tc>
      </w:tr>
      <w:tr w:rsidR="00FD240B" w:rsidRPr="00441914" w:rsidTr="00F66CF9">
        <w:trPr>
          <w:trHeight w:val="450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股东名称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公允价值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计税基础</w:t>
            </w:r>
          </w:p>
        </w:tc>
      </w:tr>
      <w:tr w:rsidR="00FD240B" w:rsidRPr="00441914" w:rsidTr="00F66CF9">
        <w:trPr>
          <w:trHeight w:val="555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85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5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D240B" w:rsidRPr="00441914" w:rsidTr="00F66CF9">
        <w:trPr>
          <w:trHeight w:val="870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谨声明：本人知悉并保证本表填报内容及所附证明材料真实、完整，并承担因资料虚假而产生的法律和行政责任。</w:t>
            </w: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         法定代表人签章：            年  月  日</w:t>
            </w:r>
          </w:p>
        </w:tc>
      </w:tr>
      <w:tr w:rsidR="00FD240B" w:rsidRPr="00441914" w:rsidTr="00F66CF9">
        <w:trPr>
          <w:trHeight w:val="48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填表人：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填表日期：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375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40B" w:rsidRPr="00441914" w:rsidRDefault="00FD240B" w:rsidP="00F66CF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240B" w:rsidRPr="00441914" w:rsidTr="00F66CF9">
        <w:trPr>
          <w:trHeight w:val="285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填表说明：</w:t>
            </w:r>
          </w:p>
        </w:tc>
      </w:tr>
      <w:tr w:rsidR="00FD240B" w:rsidRPr="00441914" w:rsidTr="00F66CF9">
        <w:trPr>
          <w:trHeight w:val="315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1.分立企业超过两家的，应增加相应行次填写。</w:t>
            </w:r>
          </w:p>
        </w:tc>
      </w:tr>
      <w:tr w:rsidR="00FD240B" w:rsidRPr="00441914" w:rsidTr="00F66CF9">
        <w:trPr>
          <w:trHeight w:val="345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2.若企业分立业务较复杂，本表不能充分反映企业实际情况，企业可自行补充说明。</w:t>
            </w:r>
          </w:p>
        </w:tc>
      </w:tr>
      <w:tr w:rsidR="00FD240B" w:rsidRPr="00441914" w:rsidTr="00F66CF9">
        <w:trPr>
          <w:trHeight w:val="360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40B" w:rsidRPr="00441914" w:rsidRDefault="00FD240B" w:rsidP="00F66CF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1914">
              <w:rPr>
                <w:rFonts w:ascii="仿宋_GB2312" w:eastAsia="仿宋_GB2312" w:hAnsi="宋体" w:cs="宋体" w:hint="eastAsia"/>
                <w:kern w:val="0"/>
                <w:sz w:val="24"/>
              </w:rPr>
              <w:t>3.本表一式两份。分立企业（被分立企业、被分立企业股东）及其所属主管税务机关各一份。</w:t>
            </w:r>
          </w:p>
        </w:tc>
      </w:tr>
    </w:tbl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FD240B" w:rsidRPr="00441914" w:rsidRDefault="00FD240B" w:rsidP="00FD240B">
      <w:pPr>
        <w:rPr>
          <w:rFonts w:ascii="Calibri" w:eastAsia="仿宋_GB2312" w:hAnsi="Calibri"/>
          <w:sz w:val="28"/>
          <w:szCs w:val="28"/>
        </w:rPr>
      </w:pPr>
    </w:p>
    <w:p w:rsidR="00051D62" w:rsidRPr="00FD240B" w:rsidRDefault="00051D62"/>
    <w:sectPr w:rsidR="00051D62" w:rsidRPr="00FD240B" w:rsidSect="00392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6C0" w:rsidRDefault="00F856C0" w:rsidP="00FD240B">
      <w:r>
        <w:separator/>
      </w:r>
    </w:p>
  </w:endnote>
  <w:endnote w:type="continuationSeparator" w:id="1">
    <w:p w:rsidR="00F856C0" w:rsidRDefault="00F856C0" w:rsidP="00FD2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6C0" w:rsidRDefault="00F856C0" w:rsidP="00FD240B">
      <w:r>
        <w:separator/>
      </w:r>
    </w:p>
  </w:footnote>
  <w:footnote w:type="continuationSeparator" w:id="1">
    <w:p w:rsidR="00F856C0" w:rsidRDefault="00F856C0" w:rsidP="00FD2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>
    <w:nsid w:val="00000008"/>
    <w:multiLevelType w:val="singleLevel"/>
    <w:tmpl w:val="00000008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suff w:val="nothing"/>
      <w:lvlText w:val="%1、"/>
      <w:lvlJc w:val="left"/>
    </w:lvl>
  </w:abstractNum>
  <w:abstractNum w:abstractNumId="3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4">
    <w:nsid w:val="00000011"/>
    <w:multiLevelType w:val="multilevel"/>
    <w:tmpl w:val="00000011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0D4655E6"/>
    <w:multiLevelType w:val="multilevel"/>
    <w:tmpl w:val="30A8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542309"/>
    <w:multiLevelType w:val="multilevel"/>
    <w:tmpl w:val="22EE4DF8"/>
    <w:lvl w:ilvl="0">
      <w:start w:val="1"/>
      <w:numFmt w:val="decimal"/>
      <w:suff w:val="space"/>
      <w:lvlText w:val="第%1章"/>
      <w:lvlJc w:val="left"/>
      <w:pPr>
        <w:ind w:left="432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suff w:val="space"/>
      <w:lvlText w:val="%1.%2"/>
      <w:lvlJc w:val="left"/>
      <w:pPr>
        <w:ind w:left="644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suff w:val="space"/>
      <w:lvlText w:val="%1.%2.%3"/>
      <w:lvlJc w:val="left"/>
      <w:pPr>
        <w:ind w:left="1620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17321BC8"/>
    <w:multiLevelType w:val="hybridMultilevel"/>
    <w:tmpl w:val="D188F6EE"/>
    <w:lvl w:ilvl="0" w:tplc="7FDCB2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0024D6"/>
    <w:multiLevelType w:val="hybridMultilevel"/>
    <w:tmpl w:val="796230DC"/>
    <w:lvl w:ilvl="0" w:tplc="AA3C4AA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2915233"/>
    <w:multiLevelType w:val="hybridMultilevel"/>
    <w:tmpl w:val="33AA68AC"/>
    <w:lvl w:ilvl="0" w:tplc="C77A08C2">
      <w:start w:val="1"/>
      <w:numFmt w:val="decimal"/>
      <w:lvlText w:val="%1."/>
      <w:lvlJc w:val="left"/>
      <w:pPr>
        <w:ind w:left="360" w:hanging="360"/>
      </w:pPr>
      <w:rPr>
        <w:rFonts w:ascii="Calibri" w:eastAsia="宋体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856C8B"/>
    <w:multiLevelType w:val="hybridMultilevel"/>
    <w:tmpl w:val="FACCFD8E"/>
    <w:lvl w:ilvl="0" w:tplc="3FD8D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0E662A"/>
    <w:multiLevelType w:val="hybridMultilevel"/>
    <w:tmpl w:val="84E02A20"/>
    <w:lvl w:ilvl="0" w:tplc="DEE819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D1736DA"/>
    <w:multiLevelType w:val="hybridMultilevel"/>
    <w:tmpl w:val="3DDA1DB8"/>
    <w:lvl w:ilvl="0" w:tplc="DABC0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FCF03E6"/>
    <w:multiLevelType w:val="hybridMultilevel"/>
    <w:tmpl w:val="2A7AE8B2"/>
    <w:lvl w:ilvl="0" w:tplc="5BA8B1B6">
      <w:start w:val="1"/>
      <w:numFmt w:val="decimal"/>
      <w:lvlText w:val="%1."/>
      <w:lvlJc w:val="left"/>
      <w:pPr>
        <w:ind w:left="468" w:hanging="360"/>
      </w:pPr>
      <w:rPr>
        <w:rFonts w:ascii="Calibri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4">
    <w:nsid w:val="54D24B38"/>
    <w:multiLevelType w:val="hybridMultilevel"/>
    <w:tmpl w:val="156C387A"/>
    <w:lvl w:ilvl="0" w:tplc="9C72324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346AAF"/>
    <w:multiLevelType w:val="hybridMultilevel"/>
    <w:tmpl w:val="B76E80A4"/>
    <w:lvl w:ilvl="0" w:tplc="F294A26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201244"/>
    <w:multiLevelType w:val="hybridMultilevel"/>
    <w:tmpl w:val="65DC4720"/>
    <w:lvl w:ilvl="0" w:tplc="C756C058">
      <w:start w:val="1"/>
      <w:numFmt w:val="decimal"/>
      <w:lvlText w:val="%1."/>
      <w:lvlJc w:val="left"/>
      <w:pPr>
        <w:ind w:left="468" w:hanging="360"/>
      </w:pPr>
      <w:rPr>
        <w:rFonts w:ascii="Calibri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7">
    <w:nsid w:val="60A13DF8"/>
    <w:multiLevelType w:val="hybridMultilevel"/>
    <w:tmpl w:val="E312A646"/>
    <w:lvl w:ilvl="0" w:tplc="BD029E72">
      <w:start w:val="1"/>
      <w:numFmt w:val="decimal"/>
      <w:lvlText w:val="%1."/>
      <w:lvlJc w:val="left"/>
      <w:pPr>
        <w:ind w:left="468" w:hanging="360"/>
      </w:pPr>
      <w:rPr>
        <w:rFonts w:ascii="Calibri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8">
    <w:nsid w:val="6C914779"/>
    <w:multiLevelType w:val="hybridMultilevel"/>
    <w:tmpl w:val="CB086C26"/>
    <w:lvl w:ilvl="0" w:tplc="0DEEDA56">
      <w:start w:val="1"/>
      <w:numFmt w:val="decimal"/>
      <w:lvlText w:val="%1."/>
      <w:lvlJc w:val="left"/>
      <w:pPr>
        <w:ind w:left="360" w:hanging="360"/>
      </w:pPr>
      <w:rPr>
        <w:rFonts w:ascii="Calibri" w:eastAsia="宋体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868725B"/>
    <w:multiLevelType w:val="hybridMultilevel"/>
    <w:tmpl w:val="6A386DE2"/>
    <w:lvl w:ilvl="0" w:tplc="DEFC186C">
      <w:start w:val="1"/>
      <w:numFmt w:val="decimal"/>
      <w:lvlText w:val="%1."/>
      <w:lvlJc w:val="left"/>
      <w:pPr>
        <w:ind w:left="360" w:hanging="360"/>
      </w:pPr>
      <w:rPr>
        <w:rFonts w:ascii="Calibri" w:eastAsia="宋体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92F45F0"/>
    <w:multiLevelType w:val="hybridMultilevel"/>
    <w:tmpl w:val="35C64FB8"/>
    <w:lvl w:ilvl="0" w:tplc="7CAAE874">
      <w:start w:val="1"/>
      <w:numFmt w:val="decimal"/>
      <w:lvlText w:val="%1."/>
      <w:lvlJc w:val="left"/>
      <w:pPr>
        <w:ind w:left="468" w:hanging="360"/>
      </w:pPr>
      <w:rPr>
        <w:rFonts w:ascii="Calibri" w:hAnsi="Calibri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21">
    <w:nsid w:val="7DA20165"/>
    <w:multiLevelType w:val="hybridMultilevel"/>
    <w:tmpl w:val="C2A008C8"/>
    <w:lvl w:ilvl="0" w:tplc="5EF2C43C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DBF6F11"/>
    <w:multiLevelType w:val="hybridMultilevel"/>
    <w:tmpl w:val="7E1C55B0"/>
    <w:lvl w:ilvl="0" w:tplc="5342964A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D96A3100">
      <w:start w:val="1"/>
      <w:numFmt w:val="decimal"/>
      <w:lvlText w:val="%2、"/>
      <w:lvlJc w:val="left"/>
      <w:pPr>
        <w:tabs>
          <w:tab w:val="num" w:pos="1710"/>
        </w:tabs>
        <w:ind w:left="1710" w:hanging="7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22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</w:num>
  <w:num w:numId="7">
    <w:abstractNumId w:val="1"/>
    <w:lvlOverride w:ilvl="0">
      <w:startOverride w:val="1"/>
    </w:lvlOverride>
  </w:num>
  <w:num w:numId="8">
    <w:abstractNumId w:val="14"/>
  </w:num>
  <w:num w:numId="9">
    <w:abstractNumId w:val="15"/>
  </w:num>
  <w:num w:numId="10">
    <w:abstractNumId w:val="11"/>
  </w:num>
  <w:num w:numId="11">
    <w:abstractNumId w:val="21"/>
  </w:num>
  <w:num w:numId="12">
    <w:abstractNumId w:val="10"/>
  </w:num>
  <w:num w:numId="13">
    <w:abstractNumId w:val="19"/>
  </w:num>
  <w:num w:numId="14">
    <w:abstractNumId w:val="12"/>
  </w:num>
  <w:num w:numId="15">
    <w:abstractNumId w:val="18"/>
  </w:num>
  <w:num w:numId="16">
    <w:abstractNumId w:val="9"/>
  </w:num>
  <w:num w:numId="17">
    <w:abstractNumId w:val="16"/>
  </w:num>
  <w:num w:numId="18">
    <w:abstractNumId w:val="13"/>
  </w:num>
  <w:num w:numId="19">
    <w:abstractNumId w:val="20"/>
  </w:num>
  <w:num w:numId="20">
    <w:abstractNumId w:val="17"/>
  </w:num>
  <w:num w:numId="21">
    <w:abstractNumId w:val="7"/>
  </w:num>
  <w:num w:numId="22">
    <w:abstractNumId w:val="6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240B"/>
    <w:rsid w:val="00051D62"/>
    <w:rsid w:val="00392D25"/>
    <w:rsid w:val="0069149A"/>
    <w:rsid w:val="00A4064C"/>
    <w:rsid w:val="00C56564"/>
    <w:rsid w:val="00DC5949"/>
    <w:rsid w:val="00E305C2"/>
    <w:rsid w:val="00F856C0"/>
    <w:rsid w:val="00FD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25"/>
    <w:pPr>
      <w:widowControl w:val="0"/>
      <w:jc w:val="both"/>
    </w:pPr>
  </w:style>
  <w:style w:type="paragraph" w:styleId="1">
    <w:name w:val="heading 1"/>
    <w:aliases w:val="H1,第 ？ 章,PIM 1,h1,h11,heading 1TOC,1st level,Section Head,l1,heading 1,1,Header 1,Heading 0,Header1,H11,H12,H13,H14,H15,H16,H17,H18,H19,H110,H111,H112,H121,H131,H141,H151,H161,H171,H181,H191,H1101,H1111,H113,H122,H132,H142,H152,H162,H172,H182,H192"/>
    <w:basedOn w:val="a"/>
    <w:next w:val="a"/>
    <w:link w:val="1Char"/>
    <w:autoRedefine/>
    <w:qFormat/>
    <w:rsid w:val="00FD240B"/>
    <w:pPr>
      <w:keepNext/>
      <w:keepLines/>
      <w:spacing w:before="340" w:after="330" w:line="578" w:lineRule="auto"/>
      <w:ind w:left="432"/>
      <w:jc w:val="center"/>
      <w:outlineLvl w:val="0"/>
    </w:pPr>
    <w:rPr>
      <w:rFonts w:ascii="Arial" w:eastAsia="宋体" w:hAnsi="Arial" w:cs="Times New Roman"/>
      <w:b/>
      <w:bCs/>
      <w:kern w:val="44"/>
      <w:sz w:val="36"/>
      <w:szCs w:val="44"/>
    </w:rPr>
  </w:style>
  <w:style w:type="paragraph" w:styleId="2">
    <w:name w:val="heading 2"/>
    <w:aliases w:val="第一层条,Heading 2 Hidden,Heading 2 CCBS,heading 2,H2,h2,H21,H22,H23,H24,H25,H26,H27,H28,H29,H210,H211,H212,H221,H231,H241,H251,H261,H271,H281,H291,H2101,H2111,H213,H222,H232,H242,H252,H262,H272,H282,H292,H2102,H2112,H2121,H2211,H2311,H2411,H2511,H2611"/>
    <w:basedOn w:val="a"/>
    <w:next w:val="a"/>
    <w:link w:val="2Char"/>
    <w:qFormat/>
    <w:rsid w:val="00FD240B"/>
    <w:pPr>
      <w:keepNext/>
      <w:keepLines/>
      <w:tabs>
        <w:tab w:val="num" w:pos="567"/>
      </w:tabs>
      <w:spacing w:before="260" w:after="260" w:line="416" w:lineRule="auto"/>
      <w:ind w:left="567" w:hanging="567"/>
      <w:outlineLvl w:val="1"/>
    </w:pPr>
    <w:rPr>
      <w:rFonts w:ascii="Arial" w:eastAsia="黑体" w:hAnsi="Arial" w:cs="Times New Roman"/>
      <w:b/>
      <w:bCs/>
      <w:sz w:val="24"/>
      <w:szCs w:val="32"/>
    </w:rPr>
  </w:style>
  <w:style w:type="paragraph" w:styleId="3">
    <w:name w:val="heading 3"/>
    <w:aliases w:val="第二层条,H3,h3,3,list 3,H3-Heading 3,l3.3,l3,CT,Heading 3 - old,Level 3 Head,3rd level,sect1.2.3,sect1.2.31,sect1.2.32,sect1.2.33,sect1.2.34,sect1.2.35,sect1.2.36,sect1.2.37,sect1.2.38,sect1.2.39,sect1.2.310,sect1.2.311,sect1.2.312,sect1.2.313,Head,bh"/>
    <w:basedOn w:val="a"/>
    <w:next w:val="a"/>
    <w:link w:val="3Char"/>
    <w:qFormat/>
    <w:rsid w:val="00FD240B"/>
    <w:pPr>
      <w:keepNext/>
      <w:keepLines/>
      <w:tabs>
        <w:tab w:val="num" w:pos="709"/>
      </w:tabs>
      <w:spacing w:before="260" w:after="260" w:line="416" w:lineRule="auto"/>
      <w:ind w:left="709" w:hanging="709"/>
      <w:outlineLvl w:val="2"/>
    </w:pPr>
    <w:rPr>
      <w:rFonts w:ascii="Times New Roman" w:eastAsia="宋体" w:hAnsi="Times New Roman" w:cs="Times New Roman"/>
      <w:b/>
      <w:bCs/>
      <w:szCs w:val="32"/>
    </w:rPr>
  </w:style>
  <w:style w:type="paragraph" w:styleId="4">
    <w:name w:val="heading 4"/>
    <w:aliases w:val="H4,Fab-4,T5,PIM 4,h4,Ref Heading 1,rh1,Heading sql,sect 1.2.3.4,bullet,bl,bb,heading 4,H41,H42,H43,H44,H45,H46,H47,H48,H49,H410,H411,H421,H431,H441,H451,H461,H471,H481,H491,H4101,H412,H422,H432,H442,H452,H462,H472,H482,H492,H4102,H4111,H4211,H4311"/>
    <w:basedOn w:val="a"/>
    <w:next w:val="a"/>
    <w:link w:val="4Char"/>
    <w:qFormat/>
    <w:rsid w:val="00FD240B"/>
    <w:pPr>
      <w:keepNext/>
      <w:widowControl/>
      <w:tabs>
        <w:tab w:val="num" w:pos="851"/>
      </w:tabs>
      <w:spacing w:before="240" w:after="60"/>
      <w:ind w:left="851" w:hanging="851"/>
      <w:outlineLvl w:val="3"/>
    </w:pPr>
    <w:rPr>
      <w:rFonts w:ascii="Arial" w:eastAsia="宋体" w:hAnsi="Arial" w:cs="Times New Roman"/>
      <w:b/>
      <w:bCs/>
      <w:kern w:val="0"/>
      <w:szCs w:val="28"/>
    </w:rPr>
  </w:style>
  <w:style w:type="paragraph" w:styleId="5">
    <w:name w:val="heading 5"/>
    <w:aliases w:val="dash,ds,dd,H5,h5,heading 5,Second Subheading,dash1,ds1,dd1,dash2,ds2,dd2,dash3,ds3,dd3,dash4,ds4,dd4,dash5,ds5,dd5,dash6,ds6,dd6,dash7,ds7,dd7,dash8,ds8,dd8,dash9,ds9,dd9,dash10,ds10,dd10,dash11,ds11,dd11,dash21,ds21,dd21,dash31,ds31,dd31,dash41,5"/>
    <w:basedOn w:val="a"/>
    <w:next w:val="a"/>
    <w:link w:val="5Char"/>
    <w:qFormat/>
    <w:rsid w:val="00FD240B"/>
    <w:pPr>
      <w:keepNext/>
      <w:keepLines/>
      <w:tabs>
        <w:tab w:val="num" w:pos="992"/>
      </w:tabs>
      <w:spacing w:before="280" w:after="290" w:line="376" w:lineRule="auto"/>
      <w:ind w:left="992" w:hanging="992"/>
      <w:outlineLvl w:val="4"/>
    </w:pPr>
    <w:rPr>
      <w:rFonts w:ascii="Times New Roman" w:eastAsia="宋体" w:hAnsi="Times New Roman" w:cs="Times New Roman"/>
      <w:b/>
      <w:bCs/>
      <w:sz w:val="20"/>
      <w:szCs w:val="28"/>
    </w:rPr>
  </w:style>
  <w:style w:type="paragraph" w:styleId="6">
    <w:name w:val="heading 6"/>
    <w:aliases w:val="第五层条,h6,Third Subheading,L6,H6,BOD 4"/>
    <w:basedOn w:val="a"/>
    <w:next w:val="a"/>
    <w:link w:val="6Char"/>
    <w:qFormat/>
    <w:rsid w:val="00FD240B"/>
    <w:pPr>
      <w:keepNext/>
      <w:keepLines/>
      <w:tabs>
        <w:tab w:val="num" w:pos="1134"/>
      </w:tabs>
      <w:spacing w:before="240" w:after="64" w:line="320" w:lineRule="auto"/>
      <w:ind w:left="1134" w:hanging="1134"/>
      <w:outlineLvl w:val="5"/>
    </w:pPr>
    <w:rPr>
      <w:rFonts w:ascii="Arial" w:eastAsia="楷体_GB2312" w:hAnsi="Arial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4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4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40B"/>
    <w:rPr>
      <w:sz w:val="18"/>
      <w:szCs w:val="18"/>
    </w:rPr>
  </w:style>
  <w:style w:type="character" w:customStyle="1" w:styleId="1Char">
    <w:name w:val="标题 1 Char"/>
    <w:aliases w:val="H1 Char,第 ？ 章 Char,PIM 1 Char,h1 Char,h11 Char,heading 1TOC Char,1st level Char,Section Head Char,l1 Char,heading 1 Char,1 Char,Header 1 Char,Heading 0 Char,Header1 Char,H11 Char,H12 Char,H13 Char,H14 Char,H15 Char,H16 Char,H17 Char,H18 Char"/>
    <w:basedOn w:val="a0"/>
    <w:link w:val="1"/>
    <w:rsid w:val="00FD240B"/>
    <w:rPr>
      <w:rFonts w:ascii="Arial" w:eastAsia="宋体" w:hAnsi="Arial" w:cs="Times New Roman"/>
      <w:b/>
      <w:bCs/>
      <w:kern w:val="44"/>
      <w:sz w:val="36"/>
      <w:szCs w:val="44"/>
    </w:rPr>
  </w:style>
  <w:style w:type="character" w:customStyle="1" w:styleId="2Char">
    <w:name w:val="标题 2 Char"/>
    <w:aliases w:val="第一层条 Char,Heading 2 Hidden Char,Heading 2 CCBS Char,heading 2 Char,H2 Char,h2 Char,H21 Char,H22 Char,H23 Char,H24 Char,H25 Char,H26 Char,H27 Char,H28 Char,H29 Char,H210 Char,H211 Char,H212 Char,H221 Char,H231 Char,H241 Char,H251 Char,H261 Char"/>
    <w:basedOn w:val="a0"/>
    <w:link w:val="2"/>
    <w:rsid w:val="00FD240B"/>
    <w:rPr>
      <w:rFonts w:ascii="Arial" w:eastAsia="黑体" w:hAnsi="Arial" w:cs="Times New Roman"/>
      <w:b/>
      <w:bCs/>
      <w:sz w:val="24"/>
      <w:szCs w:val="32"/>
    </w:rPr>
  </w:style>
  <w:style w:type="character" w:customStyle="1" w:styleId="3Char">
    <w:name w:val="标题 3 Char"/>
    <w:aliases w:val="第二层条 Char,H3 Char,h3 Char,3 Char,list 3 Char,H3-Heading 3 Char,l3.3 Char,l3 Char,CT Char,Heading 3 - old Char,Level 3 Head Char,3rd level Char,sect1.2.3 Char,sect1.2.31 Char,sect1.2.32 Char,sect1.2.33 Char,sect1.2.34 Char,sect1.2.35 Char"/>
    <w:basedOn w:val="a0"/>
    <w:link w:val="3"/>
    <w:rsid w:val="00FD240B"/>
    <w:rPr>
      <w:rFonts w:ascii="Times New Roman" w:eastAsia="宋体" w:hAnsi="Times New Roman" w:cs="Times New Roman"/>
      <w:b/>
      <w:bCs/>
      <w:szCs w:val="32"/>
    </w:rPr>
  </w:style>
  <w:style w:type="character" w:customStyle="1" w:styleId="4Char">
    <w:name w:val="标题 4 Char"/>
    <w:aliases w:val="H4 Char,Fab-4 Char,T5 Char,PIM 4 Char,h4 Char,Ref Heading 1 Char,rh1 Char,Heading sql Char,sect 1.2.3.4 Char,bullet Char,bl Char,bb Char,heading 4 Char,H41 Char,H42 Char,H43 Char,H44 Char,H45 Char,H46 Char,H47 Char,H48 Char,H49 Char,H410 Char"/>
    <w:basedOn w:val="a0"/>
    <w:link w:val="4"/>
    <w:rsid w:val="00FD240B"/>
    <w:rPr>
      <w:rFonts w:ascii="Arial" w:eastAsia="宋体" w:hAnsi="Arial" w:cs="Times New Roman"/>
      <w:b/>
      <w:bCs/>
      <w:kern w:val="0"/>
      <w:szCs w:val="28"/>
    </w:rPr>
  </w:style>
  <w:style w:type="character" w:customStyle="1" w:styleId="5Char">
    <w:name w:val="标题 5 Char"/>
    <w:aliases w:val="dash Char,ds Char,dd Char,H5 Char,h5 Char,heading 5 Char,Second Subheading Char,dash1 Char,ds1 Char,dd1 Char,dash2 Char,ds2 Char,dd2 Char,dash3 Char,ds3 Char,dd3 Char,dash4 Char,ds4 Char,dd4 Char,dash5 Char,ds5 Char,dd5 Char,dash6 Char,5 Char"/>
    <w:basedOn w:val="a0"/>
    <w:link w:val="5"/>
    <w:rsid w:val="00FD240B"/>
    <w:rPr>
      <w:rFonts w:ascii="Times New Roman" w:eastAsia="宋体" w:hAnsi="Times New Roman" w:cs="Times New Roman"/>
      <w:b/>
      <w:bCs/>
      <w:sz w:val="20"/>
      <w:szCs w:val="28"/>
    </w:rPr>
  </w:style>
  <w:style w:type="character" w:customStyle="1" w:styleId="6Char">
    <w:name w:val="标题 6 Char"/>
    <w:aliases w:val="第五层条 Char,h6 Char,Third Subheading Char,L6 Char,H6 Char,BOD 4 Char"/>
    <w:basedOn w:val="a0"/>
    <w:link w:val="6"/>
    <w:rsid w:val="00FD240B"/>
    <w:rPr>
      <w:rFonts w:ascii="Arial" w:eastAsia="楷体_GB2312" w:hAnsi="Arial" w:cs="Times New Roman"/>
      <w:b/>
      <w:bCs/>
      <w:szCs w:val="24"/>
    </w:rPr>
  </w:style>
  <w:style w:type="character" w:styleId="a5">
    <w:name w:val="page number"/>
    <w:basedOn w:val="a0"/>
    <w:rsid w:val="00FD240B"/>
  </w:style>
  <w:style w:type="paragraph" w:styleId="a6">
    <w:name w:val="Date"/>
    <w:basedOn w:val="a"/>
    <w:next w:val="a"/>
    <w:link w:val="Char1"/>
    <w:rsid w:val="00FD240B"/>
    <w:pPr>
      <w:ind w:leftChars="2500" w:left="10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日期 Char"/>
    <w:basedOn w:val="a0"/>
    <w:link w:val="a6"/>
    <w:rsid w:val="00FD240B"/>
    <w:rPr>
      <w:rFonts w:ascii="Times New Roman" w:eastAsia="宋体" w:hAnsi="Times New Roman" w:cs="Times New Roman"/>
      <w:szCs w:val="24"/>
    </w:rPr>
  </w:style>
  <w:style w:type="paragraph" w:customStyle="1" w:styleId="Style1">
    <w:name w:val="_Style 1"/>
    <w:basedOn w:val="a"/>
    <w:rsid w:val="00FD240B"/>
    <w:rPr>
      <w:rFonts w:ascii="Times New Roman" w:eastAsia="仿宋_GB2312" w:hAnsi="Times New Roman" w:cs="Times New Roman"/>
      <w:kern w:val="0"/>
      <w:sz w:val="32"/>
      <w:szCs w:val="20"/>
    </w:rPr>
  </w:style>
  <w:style w:type="paragraph" w:styleId="a7">
    <w:name w:val="Normal (Web)"/>
    <w:basedOn w:val="a"/>
    <w:rsid w:val="00FD24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Plain Text"/>
    <w:basedOn w:val="a"/>
    <w:link w:val="Char2"/>
    <w:rsid w:val="00FD240B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rsid w:val="00FD240B"/>
    <w:rPr>
      <w:rFonts w:ascii="宋体" w:eastAsia="宋体" w:hAnsi="Courier New" w:cs="Courier New"/>
      <w:szCs w:val="21"/>
    </w:rPr>
  </w:style>
  <w:style w:type="paragraph" w:customStyle="1" w:styleId="Char3">
    <w:name w:val="Char"/>
    <w:basedOn w:val="a"/>
    <w:rsid w:val="00FD240B"/>
    <w:rPr>
      <w:rFonts w:ascii="Tahoma" w:eastAsia="宋体" w:hAnsi="Tahoma" w:cs="Times New Roman"/>
      <w:sz w:val="24"/>
      <w:szCs w:val="20"/>
    </w:rPr>
  </w:style>
  <w:style w:type="paragraph" w:customStyle="1" w:styleId="CharCharCharChar">
    <w:name w:val="Char Char Char Char"/>
    <w:basedOn w:val="a"/>
    <w:rsid w:val="00FD240B"/>
    <w:rPr>
      <w:rFonts w:ascii="Times New Roman" w:eastAsia="仿宋_GB2312" w:hAnsi="Times New Roman" w:cs="Times New Roman"/>
      <w:kern w:val="0"/>
      <w:sz w:val="32"/>
      <w:szCs w:val="20"/>
    </w:rPr>
  </w:style>
  <w:style w:type="paragraph" w:styleId="a9">
    <w:name w:val="List Paragraph"/>
    <w:basedOn w:val="a"/>
    <w:uiPriority w:val="34"/>
    <w:qFormat/>
    <w:rsid w:val="00FD240B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annotation text"/>
    <w:basedOn w:val="a"/>
    <w:link w:val="Char4"/>
    <w:uiPriority w:val="99"/>
    <w:rsid w:val="00FD240B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customStyle="1" w:styleId="Char4">
    <w:name w:val="批注文字 Char"/>
    <w:basedOn w:val="a0"/>
    <w:link w:val="aa"/>
    <w:uiPriority w:val="99"/>
    <w:rsid w:val="00FD240B"/>
    <w:rPr>
      <w:rFonts w:ascii="Times New Roman" w:eastAsia="仿宋_GB2312" w:hAnsi="Times New Roman" w:cs="Times New Roman"/>
      <w:kern w:val="0"/>
      <w:sz w:val="32"/>
      <w:szCs w:val="20"/>
    </w:rPr>
  </w:style>
  <w:style w:type="character" w:styleId="ab">
    <w:name w:val="annotation reference"/>
    <w:uiPriority w:val="99"/>
    <w:rsid w:val="00FD240B"/>
    <w:rPr>
      <w:sz w:val="21"/>
      <w:szCs w:val="21"/>
    </w:rPr>
  </w:style>
  <w:style w:type="paragraph" w:customStyle="1" w:styleId="CharCharCharCharCharCharChar">
    <w:name w:val="Char Char Char Char Char Char Char"/>
    <w:basedOn w:val="a"/>
    <w:autoRedefine/>
    <w:rsid w:val="00FD240B"/>
    <w:pPr>
      <w:tabs>
        <w:tab w:val="num" w:pos="1290"/>
      </w:tabs>
      <w:ind w:left="1290" w:hanging="72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font14line-height">
    <w:name w:val="font14 line-height"/>
    <w:basedOn w:val="a0"/>
    <w:rsid w:val="00FD240B"/>
  </w:style>
  <w:style w:type="paragraph" w:styleId="ac">
    <w:name w:val="Document Map"/>
    <w:basedOn w:val="a"/>
    <w:link w:val="Char5"/>
    <w:semiHidden/>
    <w:rsid w:val="00FD240B"/>
    <w:pPr>
      <w:widowControl/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customStyle="1" w:styleId="Char5">
    <w:name w:val="文档结构图 Char"/>
    <w:basedOn w:val="a0"/>
    <w:link w:val="ac"/>
    <w:semiHidden/>
    <w:rsid w:val="00FD240B"/>
    <w:rPr>
      <w:rFonts w:ascii="Times New Roman" w:eastAsia="仿宋_GB2312" w:hAnsi="Times New Roman" w:cs="Times New Roman"/>
      <w:kern w:val="0"/>
      <w:sz w:val="32"/>
      <w:szCs w:val="20"/>
      <w:shd w:val="clear" w:color="auto" w:fill="000080"/>
    </w:rPr>
  </w:style>
  <w:style w:type="character" w:styleId="ad">
    <w:name w:val="Strong"/>
    <w:qFormat/>
    <w:rsid w:val="00FD240B"/>
    <w:rPr>
      <w:b/>
      <w:bCs/>
    </w:rPr>
  </w:style>
  <w:style w:type="paragraph" w:customStyle="1" w:styleId="xl36">
    <w:name w:val="xl36"/>
    <w:basedOn w:val="a"/>
    <w:rsid w:val="00FD240B"/>
    <w:pPr>
      <w:widowControl/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32"/>
      <w:szCs w:val="32"/>
    </w:rPr>
  </w:style>
  <w:style w:type="paragraph" w:styleId="ae">
    <w:name w:val="annotation subject"/>
    <w:basedOn w:val="aa"/>
    <w:next w:val="aa"/>
    <w:link w:val="Char6"/>
    <w:uiPriority w:val="99"/>
    <w:rsid w:val="00FD240B"/>
    <w:pPr>
      <w:widowControl w:val="0"/>
      <w:overflowPunct/>
      <w:autoSpaceDE/>
      <w:autoSpaceDN/>
      <w:adjustRightInd/>
      <w:textAlignment w:val="auto"/>
    </w:pPr>
    <w:rPr>
      <w:b/>
      <w:bCs/>
      <w:kern w:val="2"/>
      <w:sz w:val="21"/>
      <w:szCs w:val="24"/>
    </w:rPr>
  </w:style>
  <w:style w:type="character" w:customStyle="1" w:styleId="Char6">
    <w:name w:val="批注主题 Char"/>
    <w:basedOn w:val="Char4"/>
    <w:link w:val="ae"/>
    <w:uiPriority w:val="99"/>
    <w:rsid w:val="00FD240B"/>
    <w:rPr>
      <w:b/>
      <w:bCs/>
      <w:szCs w:val="24"/>
    </w:rPr>
  </w:style>
  <w:style w:type="paragraph" w:styleId="af">
    <w:name w:val="Balloon Text"/>
    <w:basedOn w:val="a"/>
    <w:link w:val="Char7"/>
    <w:uiPriority w:val="99"/>
    <w:rsid w:val="00FD240B"/>
    <w:rPr>
      <w:rFonts w:ascii="Times New Roman" w:eastAsia="宋体" w:hAnsi="Times New Roman" w:cs="Times New Roman"/>
      <w:sz w:val="18"/>
      <w:szCs w:val="18"/>
    </w:rPr>
  </w:style>
  <w:style w:type="character" w:customStyle="1" w:styleId="Char7">
    <w:name w:val="批注框文本 Char"/>
    <w:basedOn w:val="a0"/>
    <w:link w:val="af"/>
    <w:uiPriority w:val="99"/>
    <w:rsid w:val="00FD240B"/>
    <w:rPr>
      <w:rFonts w:ascii="Times New Roman" w:eastAsia="宋体" w:hAnsi="Times New Roman" w:cs="Times New Roman"/>
      <w:sz w:val="18"/>
      <w:szCs w:val="18"/>
    </w:rPr>
  </w:style>
  <w:style w:type="numbering" w:customStyle="1" w:styleId="10">
    <w:name w:val="无列表1"/>
    <w:next w:val="a2"/>
    <w:semiHidden/>
    <w:rsid w:val="00FD240B"/>
  </w:style>
  <w:style w:type="numbering" w:customStyle="1" w:styleId="20">
    <w:name w:val="无列表2"/>
    <w:next w:val="a2"/>
    <w:uiPriority w:val="99"/>
    <w:semiHidden/>
    <w:unhideWhenUsed/>
    <w:rsid w:val="00FD240B"/>
  </w:style>
  <w:style w:type="character" w:styleId="af0">
    <w:name w:val="Hyperlink"/>
    <w:basedOn w:val="a0"/>
    <w:uiPriority w:val="99"/>
    <w:semiHidden/>
    <w:unhideWhenUsed/>
    <w:rsid w:val="00FD240B"/>
    <w:rPr>
      <w:color w:val="0000FF"/>
      <w:u w:val="single"/>
    </w:rPr>
  </w:style>
  <w:style w:type="character" w:customStyle="1" w:styleId="11">
    <w:name w:val="访问过的超链接1"/>
    <w:basedOn w:val="a0"/>
    <w:uiPriority w:val="99"/>
    <w:semiHidden/>
    <w:unhideWhenUsed/>
    <w:rsid w:val="00FD240B"/>
    <w:rPr>
      <w:color w:val="800080"/>
      <w:u w:val="single"/>
    </w:rPr>
  </w:style>
  <w:style w:type="character" w:styleId="af1">
    <w:name w:val="FollowedHyperlink"/>
    <w:basedOn w:val="a0"/>
    <w:uiPriority w:val="99"/>
    <w:semiHidden/>
    <w:unhideWhenUsed/>
    <w:rsid w:val="00FD24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945</Words>
  <Characters>5388</Characters>
  <Application>Microsoft Office Word</Application>
  <DocSecurity>0</DocSecurity>
  <Lines>44</Lines>
  <Paragraphs>12</Paragraphs>
  <ScaleCrop>false</ScaleCrop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2018-04-02T07:44:00Z</dcterms:created>
  <dcterms:modified xsi:type="dcterms:W3CDTF">2018-04-04T05:34:00Z</dcterms:modified>
</cp:coreProperties>
</file>