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9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heme="majorEastAsia" w:hAnsiTheme="majorEastAsia" w:eastAsiaTheme="majorEastAsia"/>
          <w:b/>
          <w:sz w:val="36"/>
          <w:szCs w:val="36"/>
        </w:rPr>
      </w:pPr>
      <w:r>
        <w:rPr>
          <w:rFonts w:hint="eastAsia" w:ascii="方正大标宋简体" w:hAnsi="方正大标宋简体" w:eastAsia="方正大标宋简体"/>
          <w:color w:val="FF0000"/>
          <w:sz w:val="84"/>
          <w:szCs w:val="84"/>
        </w:rPr>
        <w:t>山东省注册会计师协会</w:t>
      </w:r>
    </w:p>
    <w:p w14:paraId="1FD7E471">
      <w:pPr>
        <w:adjustRightInd w:val="0"/>
        <w:snapToGrid w:val="0"/>
        <w:spacing w:line="520" w:lineRule="exact"/>
        <w:ind w:firstLine="2530" w:firstLineChars="700"/>
        <w:rPr>
          <w:rFonts w:asciiTheme="majorEastAsia" w:hAnsiTheme="majorEastAsia" w:eastAsiaTheme="majorEastAsia"/>
          <w:b/>
          <w:sz w:val="36"/>
          <w:szCs w:val="36"/>
        </w:rPr>
      </w:pPr>
    </w:p>
    <w:p w14:paraId="7BE5524D">
      <w:pPr>
        <w:jc w:val="right"/>
        <w:rPr>
          <w:rFonts w:ascii="方正大标宋简体" w:eastAsia="方正大标宋简体"/>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）鲁会协专1号</w:t>
      </w:r>
    </w:p>
    <w:p w14:paraId="265A82C4">
      <w:pPr>
        <w:numPr>
          <w:ilvl w:val="0"/>
          <w:numId w:val="0"/>
        </w:numPr>
        <w:adjustRightInd w:val="0"/>
        <w:snapToGrid w:val="0"/>
        <w:spacing w:line="600" w:lineRule="exact"/>
        <w:jc w:val="both"/>
        <w:rPr>
          <w:rFonts w:hint="eastAsia" w:ascii="仿宋_GB2312" w:eastAsia="仿宋_GB2312" w:hAnsiTheme="majorEastAsia"/>
          <w:sz w:val="32"/>
          <w:szCs w:val="32"/>
        </w:rPr>
      </w:pPr>
      <w:bookmarkStart w:id="9" w:name="_GoBack"/>
      <w:bookmarkEnd w:id="9"/>
    </w:p>
    <w:p w14:paraId="78B03632">
      <w:pPr>
        <w:pStyle w:val="2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大标宋简体" w:eastAsia="方正大标宋简体"/>
          <w:sz w:val="44"/>
          <w:szCs w:val="44"/>
        </w:rPr>
      </w:pPr>
      <w:r>
        <w:rPr>
          <w:rFonts w:hint="eastAsia" w:ascii="方正大标宋简体" w:eastAsia="方正大标宋简体"/>
          <w:sz w:val="44"/>
          <w:szCs w:val="44"/>
        </w:rPr>
        <w:t>2024年会计师事务所执业质量检查</w:t>
      </w:r>
    </w:p>
    <w:p w14:paraId="6200E84C">
      <w:pPr>
        <w:pStyle w:val="2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大标宋简体" w:eastAsia="方正大标宋简体"/>
          <w:sz w:val="44"/>
          <w:szCs w:val="44"/>
        </w:rPr>
      </w:pPr>
      <w:r>
        <w:rPr>
          <w:rFonts w:hint="eastAsia" w:ascii="方正大标宋简体" w:eastAsia="方正大标宋简体"/>
          <w:sz w:val="44"/>
          <w:szCs w:val="44"/>
        </w:rPr>
        <w:t>发现主要问题的专业技术指导意见</w:t>
      </w:r>
    </w:p>
    <w:p w14:paraId="13FD2C9C">
      <w:pPr>
        <w:spacing w:line="360" w:lineRule="auto"/>
        <w:rPr>
          <w:rFonts w:hint="eastAsia" w:ascii="仿宋_GB2312" w:hAnsi="仿宋" w:eastAsia="仿宋_GB2312" w:cs="仿宋"/>
          <w:bCs/>
          <w:sz w:val="32"/>
          <w:szCs w:val="32"/>
          <w:lang w:bidi="ar"/>
        </w:rPr>
      </w:pPr>
    </w:p>
    <w:p w14:paraId="4CF544E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各会计师事务所：</w:t>
      </w:r>
    </w:p>
    <w:p w14:paraId="078E9E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为</w:t>
      </w:r>
      <w:r>
        <w:rPr>
          <w:rFonts w:ascii="仿宋_GB2312" w:hAnsi="仿宋" w:eastAsia="仿宋_GB2312" w:cs="仿宋"/>
          <w:bCs/>
          <w:sz w:val="32"/>
          <w:szCs w:val="32"/>
          <w:lang w:bidi="ar"/>
        </w:rPr>
        <w:t>更好</w:t>
      </w:r>
      <w:r>
        <w:rPr>
          <w:rFonts w:hint="eastAsia" w:ascii="仿宋_GB2312" w:hAnsi="仿宋" w:eastAsia="仿宋_GB2312" w:cs="仿宋"/>
          <w:bCs/>
          <w:sz w:val="32"/>
          <w:szCs w:val="32"/>
          <w:lang w:bidi="ar"/>
        </w:rPr>
        <w:t>地</w:t>
      </w:r>
      <w:r>
        <w:rPr>
          <w:rFonts w:ascii="仿宋_GB2312" w:hAnsi="仿宋" w:eastAsia="仿宋_GB2312" w:cs="仿宋"/>
          <w:bCs/>
          <w:sz w:val="32"/>
          <w:szCs w:val="32"/>
          <w:lang w:bidi="ar"/>
        </w:rPr>
        <w:t>指导和规范</w:t>
      </w:r>
      <w:r>
        <w:rPr>
          <w:rFonts w:hint="eastAsia" w:ascii="仿宋_GB2312" w:hAnsi="仿宋" w:eastAsia="仿宋_GB2312" w:cs="仿宋"/>
          <w:bCs/>
          <w:sz w:val="32"/>
          <w:szCs w:val="32"/>
          <w:lang w:bidi="ar"/>
        </w:rPr>
        <w:t>全省</w:t>
      </w:r>
      <w:r>
        <w:rPr>
          <w:rFonts w:ascii="仿宋_GB2312" w:hAnsi="仿宋" w:eastAsia="仿宋_GB2312" w:cs="仿宋"/>
          <w:bCs/>
          <w:sz w:val="32"/>
          <w:szCs w:val="32"/>
          <w:lang w:bidi="ar"/>
        </w:rPr>
        <w:t>注册会计师及</w:t>
      </w:r>
      <w:r>
        <w:rPr>
          <w:rFonts w:hint="eastAsia" w:ascii="仿宋_GB2312" w:hAnsi="仿宋" w:eastAsia="仿宋_GB2312" w:cs="仿宋"/>
          <w:bCs/>
          <w:sz w:val="32"/>
          <w:szCs w:val="32"/>
          <w:lang w:bidi="ar"/>
        </w:rPr>
        <w:t>相关</w:t>
      </w:r>
      <w:r>
        <w:rPr>
          <w:rFonts w:ascii="仿宋_GB2312" w:hAnsi="仿宋" w:eastAsia="仿宋_GB2312" w:cs="仿宋"/>
          <w:bCs/>
          <w:sz w:val="32"/>
          <w:szCs w:val="32"/>
          <w:lang w:bidi="ar"/>
        </w:rPr>
        <w:t>从业人员的审计鉴证工作，</w:t>
      </w:r>
      <w:r>
        <w:rPr>
          <w:rFonts w:hint="eastAsia" w:ascii="仿宋_GB2312" w:hAnsi="仿宋" w:eastAsia="仿宋_GB2312" w:cs="仿宋"/>
          <w:bCs/>
          <w:sz w:val="32"/>
          <w:szCs w:val="32"/>
          <w:lang w:bidi="ar"/>
        </w:rPr>
        <w:t>提升</w:t>
      </w:r>
      <w:r>
        <w:rPr>
          <w:rFonts w:ascii="仿宋_GB2312" w:hAnsi="仿宋" w:eastAsia="仿宋_GB2312" w:cs="仿宋"/>
          <w:bCs/>
          <w:sz w:val="32"/>
          <w:szCs w:val="32"/>
          <w:lang w:bidi="ar"/>
        </w:rPr>
        <w:t>会计师事务所整体</w:t>
      </w:r>
      <w:r>
        <w:rPr>
          <w:rFonts w:hint="eastAsia" w:ascii="仿宋_GB2312" w:hAnsi="仿宋" w:eastAsia="仿宋_GB2312" w:cs="仿宋"/>
          <w:bCs/>
          <w:sz w:val="32"/>
          <w:szCs w:val="32"/>
          <w:lang w:bidi="ar"/>
        </w:rPr>
        <w:t>执业</w:t>
      </w:r>
      <w:r>
        <w:rPr>
          <w:rFonts w:ascii="仿宋_GB2312" w:hAnsi="仿宋" w:eastAsia="仿宋_GB2312" w:cs="仿宋"/>
          <w:bCs/>
          <w:sz w:val="32"/>
          <w:szCs w:val="32"/>
          <w:lang w:bidi="ar"/>
        </w:rPr>
        <w:t>质量，</w:t>
      </w:r>
      <w:r>
        <w:rPr>
          <w:rFonts w:hint="eastAsia" w:ascii="仿宋_GB2312" w:hAnsi="仿宋" w:eastAsia="仿宋_GB2312" w:cs="仿宋"/>
          <w:bCs/>
          <w:sz w:val="32"/>
          <w:szCs w:val="32"/>
          <w:lang w:bidi="ar"/>
        </w:rPr>
        <w:t>山东省注册会计师协会组织专家针对</w:t>
      </w:r>
      <w:r>
        <w:rPr>
          <w:rFonts w:ascii="仿宋_GB2312" w:hAnsi="仿宋" w:eastAsia="仿宋_GB2312" w:cs="仿宋"/>
          <w:bCs/>
          <w:sz w:val="32"/>
          <w:szCs w:val="32"/>
          <w:lang w:bidi="ar"/>
        </w:rPr>
        <w:t>2024年会计师事务所执业质量检查工作过程中</w:t>
      </w:r>
      <w:r>
        <w:rPr>
          <w:rFonts w:hint="eastAsia" w:ascii="仿宋_GB2312" w:hAnsi="仿宋" w:eastAsia="仿宋_GB2312" w:cs="仿宋"/>
          <w:bCs/>
          <w:sz w:val="32"/>
          <w:szCs w:val="32"/>
          <w:lang w:bidi="ar"/>
        </w:rPr>
        <w:t>发现的主要问题进行了梳理和研究，编写了关于质量</w:t>
      </w:r>
      <w:r>
        <w:rPr>
          <w:rFonts w:ascii="仿宋_GB2312" w:hAnsi="仿宋" w:eastAsia="仿宋_GB2312" w:cs="仿宋"/>
          <w:bCs/>
          <w:sz w:val="32"/>
          <w:szCs w:val="32"/>
          <w:lang w:bidi="ar"/>
        </w:rPr>
        <w:t>管理制度制定及执行、财务报表审计业务和合理保证鉴证业务报告披露及程序执行</w:t>
      </w:r>
      <w:r>
        <w:rPr>
          <w:rFonts w:hint="eastAsia" w:ascii="仿宋_GB2312" w:hAnsi="仿宋" w:eastAsia="仿宋_GB2312" w:cs="仿宋"/>
          <w:bCs/>
          <w:sz w:val="32"/>
          <w:szCs w:val="32"/>
          <w:lang w:bidi="ar"/>
        </w:rPr>
        <w:t>等方面</w:t>
      </w:r>
      <w:r>
        <w:rPr>
          <w:rFonts w:ascii="仿宋_GB2312" w:hAnsi="仿宋" w:eastAsia="仿宋_GB2312" w:cs="仿宋"/>
          <w:bCs/>
          <w:sz w:val="32"/>
          <w:szCs w:val="32"/>
          <w:lang w:bidi="ar"/>
        </w:rPr>
        <w:t>的</w:t>
      </w:r>
      <w:r>
        <w:rPr>
          <w:rFonts w:hint="eastAsia" w:ascii="仿宋_GB2312" w:hAnsi="仿宋" w:eastAsia="仿宋_GB2312" w:cs="仿宋"/>
          <w:bCs/>
          <w:sz w:val="32"/>
          <w:szCs w:val="32"/>
          <w:lang w:bidi="ar"/>
        </w:rPr>
        <w:t>系列问题指导意见，并经省注协</w:t>
      </w:r>
      <w:r>
        <w:rPr>
          <w:rFonts w:ascii="仿宋_GB2312" w:hAnsi="仿宋" w:eastAsia="仿宋_GB2312" w:cs="仿宋"/>
          <w:bCs/>
          <w:sz w:val="32"/>
          <w:szCs w:val="32"/>
          <w:lang w:bidi="ar"/>
        </w:rPr>
        <w:t>专业技术指导委员会审议通过，</w:t>
      </w:r>
      <w:r>
        <w:rPr>
          <w:rFonts w:hint="eastAsia" w:ascii="仿宋_GB2312" w:hAnsi="仿宋" w:eastAsia="仿宋_GB2312" w:cs="仿宋"/>
          <w:bCs/>
          <w:sz w:val="32"/>
          <w:szCs w:val="32"/>
          <w:lang w:bidi="ar"/>
        </w:rPr>
        <w:t>现予以公布，供大家在执业中参考。</w:t>
      </w:r>
    </w:p>
    <w:p w14:paraId="264A1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本</w:t>
      </w:r>
      <w:r>
        <w:rPr>
          <w:rFonts w:ascii="仿宋_GB2312" w:hAnsi="仿宋" w:eastAsia="仿宋_GB2312" w:cs="仿宋"/>
          <w:bCs/>
          <w:sz w:val="32"/>
          <w:szCs w:val="32"/>
          <w:lang w:bidi="ar"/>
        </w:rPr>
        <w:t>指导意见</w:t>
      </w:r>
      <w:r>
        <w:rPr>
          <w:rFonts w:hint="eastAsia" w:ascii="仿宋_GB2312" w:hAnsi="仿宋" w:eastAsia="仿宋_GB2312" w:cs="仿宋"/>
          <w:bCs/>
          <w:sz w:val="32"/>
          <w:szCs w:val="32"/>
          <w:lang w:bidi="ar"/>
        </w:rPr>
        <w:t>仅代表有关专家观点，不具有强制性，</w:t>
      </w:r>
      <w:r>
        <w:rPr>
          <w:rFonts w:ascii="仿宋_GB2312" w:hAnsi="仿宋" w:eastAsia="仿宋_GB2312" w:cs="仿宋"/>
          <w:bCs/>
          <w:sz w:val="32"/>
          <w:szCs w:val="32"/>
          <w:lang w:bidi="ar"/>
        </w:rPr>
        <w:t>如与有关</w:t>
      </w:r>
      <w:r>
        <w:rPr>
          <w:rFonts w:hint="eastAsia" w:ascii="仿宋_GB2312" w:hAnsi="仿宋" w:eastAsia="仿宋_GB2312" w:cs="仿宋"/>
          <w:bCs/>
          <w:sz w:val="32"/>
          <w:szCs w:val="32"/>
          <w:lang w:bidi="ar"/>
        </w:rPr>
        <w:t>法律</w:t>
      </w:r>
      <w:r>
        <w:rPr>
          <w:rFonts w:ascii="仿宋_GB2312" w:hAnsi="仿宋" w:eastAsia="仿宋_GB2312" w:cs="仿宋"/>
          <w:bCs/>
          <w:sz w:val="32"/>
          <w:szCs w:val="32"/>
          <w:lang w:bidi="ar"/>
        </w:rPr>
        <w:t>法规、执业准则</w:t>
      </w:r>
      <w:r>
        <w:rPr>
          <w:rFonts w:hint="eastAsia" w:ascii="仿宋_GB2312" w:hAnsi="仿宋" w:eastAsia="仿宋_GB2312" w:cs="仿宋"/>
          <w:bCs/>
          <w:sz w:val="32"/>
          <w:szCs w:val="32"/>
          <w:lang w:bidi="ar"/>
        </w:rPr>
        <w:t>及应用</w:t>
      </w:r>
      <w:r>
        <w:rPr>
          <w:rFonts w:ascii="仿宋_GB2312" w:hAnsi="仿宋" w:eastAsia="仿宋_GB2312" w:cs="仿宋"/>
          <w:bCs/>
          <w:sz w:val="32"/>
          <w:szCs w:val="32"/>
          <w:lang w:bidi="ar"/>
        </w:rPr>
        <w:t>指南、</w:t>
      </w:r>
      <w:r>
        <w:rPr>
          <w:rFonts w:hint="eastAsia" w:ascii="仿宋_GB2312" w:hAnsi="仿宋" w:eastAsia="仿宋_GB2312" w:cs="仿宋"/>
          <w:bCs/>
          <w:sz w:val="32"/>
          <w:szCs w:val="32"/>
          <w:lang w:bidi="ar"/>
        </w:rPr>
        <w:t>问题解答</w:t>
      </w:r>
      <w:r>
        <w:rPr>
          <w:rFonts w:ascii="仿宋_GB2312" w:hAnsi="仿宋" w:eastAsia="仿宋_GB2312" w:cs="仿宋"/>
          <w:bCs/>
          <w:sz w:val="32"/>
          <w:szCs w:val="32"/>
          <w:lang w:bidi="ar"/>
        </w:rPr>
        <w:t>等有关规定不一致，</w:t>
      </w:r>
      <w:r>
        <w:rPr>
          <w:rFonts w:hint="eastAsia" w:ascii="仿宋_GB2312" w:hAnsi="仿宋" w:eastAsia="仿宋_GB2312" w:cs="仿宋"/>
          <w:bCs/>
          <w:sz w:val="32"/>
          <w:szCs w:val="32"/>
          <w:lang w:bidi="ar"/>
        </w:rPr>
        <w:t>以其</w:t>
      </w:r>
      <w:r>
        <w:rPr>
          <w:rFonts w:ascii="仿宋_GB2312" w:hAnsi="仿宋" w:eastAsia="仿宋_GB2312" w:cs="仿宋"/>
          <w:bCs/>
          <w:sz w:val="32"/>
          <w:szCs w:val="32"/>
          <w:lang w:bidi="ar"/>
        </w:rPr>
        <w:t>规定为准</w:t>
      </w:r>
      <w:r>
        <w:rPr>
          <w:rFonts w:hint="eastAsia" w:ascii="仿宋_GB2312" w:hAnsi="仿宋" w:eastAsia="仿宋_GB2312" w:cs="仿宋"/>
          <w:bCs/>
          <w:sz w:val="32"/>
          <w:szCs w:val="32"/>
          <w:lang w:bidi="ar"/>
        </w:rPr>
        <w:t>。实务中</w:t>
      </w:r>
      <w:r>
        <w:rPr>
          <w:rFonts w:ascii="仿宋_GB2312" w:hAnsi="仿宋" w:eastAsia="仿宋_GB2312" w:cs="仿宋"/>
          <w:bCs/>
          <w:sz w:val="32"/>
          <w:szCs w:val="32"/>
          <w:lang w:bidi="ar"/>
        </w:rPr>
        <w:t>，注册会计师</w:t>
      </w:r>
      <w:r>
        <w:rPr>
          <w:rFonts w:hint="eastAsia" w:ascii="仿宋_GB2312" w:hAnsi="仿宋" w:eastAsia="仿宋_GB2312" w:cs="仿宋"/>
          <w:bCs/>
          <w:sz w:val="32"/>
          <w:szCs w:val="32"/>
          <w:lang w:bidi="ar"/>
        </w:rPr>
        <w:t>仍</w:t>
      </w:r>
      <w:r>
        <w:rPr>
          <w:rFonts w:ascii="仿宋_GB2312" w:hAnsi="仿宋" w:eastAsia="仿宋_GB2312" w:cs="仿宋"/>
          <w:bCs/>
          <w:sz w:val="32"/>
          <w:szCs w:val="32"/>
          <w:lang w:bidi="ar"/>
        </w:rPr>
        <w:t>需</w:t>
      </w:r>
      <w:r>
        <w:rPr>
          <w:rFonts w:hint="eastAsia" w:ascii="仿宋_GB2312" w:hAnsi="仿宋" w:eastAsia="仿宋_GB2312" w:cs="仿宋"/>
          <w:bCs/>
          <w:sz w:val="32"/>
          <w:szCs w:val="32"/>
          <w:lang w:bidi="ar"/>
        </w:rPr>
        <w:t>保持</w:t>
      </w:r>
      <w:r>
        <w:rPr>
          <w:rFonts w:ascii="仿宋_GB2312" w:hAnsi="仿宋" w:eastAsia="仿宋_GB2312" w:cs="仿宋"/>
          <w:bCs/>
          <w:sz w:val="32"/>
          <w:szCs w:val="32"/>
          <w:lang w:bidi="ar"/>
        </w:rPr>
        <w:t>职业怀疑</w:t>
      </w:r>
      <w:r>
        <w:rPr>
          <w:rFonts w:hint="eastAsia" w:ascii="仿宋_GB2312" w:hAnsi="仿宋" w:eastAsia="仿宋_GB2312" w:cs="仿宋"/>
          <w:bCs/>
          <w:sz w:val="32"/>
          <w:szCs w:val="32"/>
          <w:lang w:bidi="ar"/>
        </w:rPr>
        <w:t>和</w:t>
      </w:r>
      <w:r>
        <w:rPr>
          <w:rFonts w:ascii="仿宋_GB2312" w:hAnsi="仿宋" w:eastAsia="仿宋_GB2312" w:cs="仿宋"/>
          <w:bCs/>
          <w:sz w:val="32"/>
          <w:szCs w:val="32"/>
          <w:lang w:bidi="ar"/>
        </w:rPr>
        <w:t>谨慎，根据具体业务情况，运用</w:t>
      </w:r>
      <w:r>
        <w:rPr>
          <w:rFonts w:hint="eastAsia" w:ascii="仿宋_GB2312" w:hAnsi="仿宋" w:eastAsia="仿宋_GB2312" w:cs="仿宋"/>
          <w:bCs/>
          <w:sz w:val="32"/>
          <w:szCs w:val="32"/>
          <w:lang w:bidi="ar"/>
        </w:rPr>
        <w:t>职业</w:t>
      </w:r>
      <w:r>
        <w:rPr>
          <w:rFonts w:ascii="仿宋_GB2312" w:hAnsi="仿宋" w:eastAsia="仿宋_GB2312" w:cs="仿宋"/>
          <w:bCs/>
          <w:sz w:val="32"/>
          <w:szCs w:val="32"/>
          <w:lang w:bidi="ar"/>
        </w:rPr>
        <w:t>判断，</w:t>
      </w:r>
      <w:r>
        <w:rPr>
          <w:rFonts w:hint="eastAsia" w:ascii="仿宋_GB2312" w:hAnsi="仿宋" w:eastAsia="仿宋_GB2312" w:cs="仿宋"/>
          <w:bCs/>
          <w:sz w:val="32"/>
          <w:szCs w:val="32"/>
          <w:lang w:bidi="ar"/>
        </w:rPr>
        <w:t>合理设计和实施程序，获取充分、适当的证据，以支持得出</w:t>
      </w:r>
      <w:r>
        <w:rPr>
          <w:rFonts w:ascii="仿宋_GB2312" w:hAnsi="仿宋" w:eastAsia="仿宋_GB2312" w:cs="仿宋"/>
          <w:bCs/>
          <w:sz w:val="32"/>
          <w:szCs w:val="32"/>
          <w:lang w:bidi="ar"/>
        </w:rPr>
        <w:t>的结论和</w:t>
      </w:r>
      <w:r>
        <w:rPr>
          <w:rFonts w:hint="eastAsia" w:ascii="仿宋_GB2312" w:hAnsi="仿宋" w:eastAsia="仿宋_GB2312" w:cs="仿宋"/>
          <w:bCs/>
          <w:sz w:val="32"/>
          <w:szCs w:val="32"/>
          <w:lang w:bidi="ar"/>
        </w:rPr>
        <w:t>出具的报告。</w:t>
      </w:r>
    </w:p>
    <w:p w14:paraId="6F3A24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仿宋"/>
          <w:bCs/>
          <w:sz w:val="32"/>
          <w:szCs w:val="32"/>
          <w:lang w:bidi="ar"/>
        </w:rPr>
      </w:pPr>
      <w:r>
        <w:rPr>
          <w:rFonts w:hint="eastAsia" w:ascii="黑体" w:hAnsi="黑体" w:eastAsia="黑体" w:cs="仿宋"/>
          <w:bCs/>
          <w:sz w:val="32"/>
          <w:szCs w:val="32"/>
          <w:lang w:bidi="ar"/>
        </w:rPr>
        <w:t>一、质量管理制度制定及执行方面</w:t>
      </w:r>
    </w:p>
    <w:p w14:paraId="24873C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7329E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未依据最新修订的《会计师事务所质量管理准则第</w:t>
      </w:r>
      <w:r>
        <w:rPr>
          <w:rFonts w:ascii="仿宋_GB2312" w:hAnsi="仿宋" w:eastAsia="仿宋_GB2312" w:cs="仿宋"/>
          <w:bCs/>
          <w:sz w:val="32"/>
          <w:szCs w:val="32"/>
          <w:lang w:bidi="ar"/>
        </w:rPr>
        <w:t>5101号——业务质量管理》《会计师事务所质量管理准则第5102号——项目质量复核》和《中国注册会计师审计准则第1121号——对财务报表审计实施的质量管理》三项质量管理准则</w:t>
      </w:r>
      <w:r>
        <w:rPr>
          <w:rFonts w:hint="eastAsia" w:ascii="仿宋_GB2312" w:hAnsi="仿宋" w:eastAsia="仿宋_GB2312" w:cs="仿宋"/>
          <w:bCs/>
          <w:sz w:val="32"/>
          <w:szCs w:val="32"/>
          <w:lang w:bidi="ar"/>
        </w:rPr>
        <w:t>对会计师事务所</w:t>
      </w:r>
      <w:r>
        <w:rPr>
          <w:rFonts w:ascii="仿宋_GB2312" w:hAnsi="仿宋" w:eastAsia="仿宋_GB2312" w:cs="仿宋"/>
          <w:bCs/>
          <w:sz w:val="32"/>
          <w:szCs w:val="32"/>
          <w:lang w:bidi="ar"/>
        </w:rPr>
        <w:t>质量管理制度进行更新、应用</w:t>
      </w:r>
      <w:r>
        <w:rPr>
          <w:rFonts w:hint="eastAsia" w:ascii="仿宋_GB2312" w:hAnsi="仿宋" w:eastAsia="仿宋_GB2312" w:cs="仿宋"/>
          <w:bCs/>
          <w:sz w:val="32"/>
          <w:szCs w:val="32"/>
          <w:lang w:bidi="ar"/>
        </w:rPr>
        <w:t>；会计师事务所质量管理和复核程序未执行或形式化，未见实际执行质量管理和复核程序的记录。</w:t>
      </w:r>
    </w:p>
    <w:p w14:paraId="2A87FA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3D9076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会计师事务所应当依据最新修订的质量管理三项准则对其质量管理制度进行更新，针对所执行的财务报表审计业务、财务报表审阅业务、其他鉴证业务和相关服务，设计、实施和运行质量管理体系，为会计师事务所执业人员按照适用的法律法规、职业准则计划和执行业务并出具报告提供合理保证，持续高质量地执行业务；同时质量复核人员应当客观评价项目组作出的重大判断以及在编制审计报告时得出的结论，针对已复核的审计业务，质量复核人员应当记录复核的具体内容及过程，并就有关事项形成审计工作底稿。</w:t>
      </w:r>
    </w:p>
    <w:p w14:paraId="6A0F91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7259FE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)《会计师事务所质量管理准则第5101号——业务质量管理》第六十五条“会计师事务所应当就项目质量复核制定政策和程序，并对下列业务实施项目质量复核:</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六十七条“会计师事务所应当制定与内部复核相关的政策和程序，对内部复核的层级、各层级的复核范围、执行复核的具体要求以及对复核的记录要求等作出规定”、第六十九条“会计师事务所应当制定与出具业务报告相关的政策和程序，要求业务报告在出具前，应当经项目合伙人、项目质量复核人员（如有）复核确认，确保其内容、格式符合职业准则的规定，并由项目合伙人及其他适当的人员（如适用）签署”。</w:t>
      </w:r>
    </w:p>
    <w:p w14:paraId="0197A6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会计师事务所质量管理准则第5102号——项目质量复核》第十一条“项目质量复核，是指在报告日或报告日之前，项目质量复核人员对项目组作出的重大判断及据此得出的结论作出的客观评价”、第三十一条“会计师事务所应当制定政策和程序，要求项目质量复核人员负责就项目质量复核形成工作底稿”。</w:t>
      </w:r>
    </w:p>
    <w:p w14:paraId="31EB67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中国注册会计师审计准则第1121号——对财务报表审计实施的质量管理》第三条“会计师事务所负责设计、实施和运行质量管理体系”、第四十条“项目合伙人应当负责对审计项目组成员进行指导、监督并复核其工作”、第四十四条“在审计报告日或审计报告日之前，项目合伙人应当通过复核审计工作底稿以及与审计项目组讨论，确保已获取充分、适当的审计证据，以支持得出的结论和拟出具的审计报告”。</w:t>
      </w:r>
    </w:p>
    <w:p w14:paraId="14C180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仿宋"/>
          <w:bCs/>
          <w:sz w:val="32"/>
          <w:szCs w:val="32"/>
          <w:lang w:bidi="ar"/>
        </w:rPr>
      </w:pPr>
      <w:r>
        <w:rPr>
          <w:rFonts w:hint="eastAsia" w:ascii="黑体" w:hAnsi="黑体" w:eastAsia="黑体" w:cs="仿宋"/>
          <w:bCs/>
          <w:sz w:val="32"/>
          <w:szCs w:val="32"/>
          <w:lang w:bidi="ar"/>
        </w:rPr>
        <w:t>二、财务</w:t>
      </w:r>
      <w:r>
        <w:rPr>
          <w:rFonts w:ascii="黑体" w:hAnsi="黑体" w:eastAsia="黑体" w:cs="仿宋"/>
          <w:bCs/>
          <w:sz w:val="32"/>
          <w:szCs w:val="32"/>
          <w:lang w:bidi="ar"/>
        </w:rPr>
        <w:t>报表审计</w:t>
      </w:r>
      <w:r>
        <w:rPr>
          <w:rFonts w:hint="eastAsia" w:ascii="黑体" w:hAnsi="黑体" w:eastAsia="黑体" w:cs="仿宋"/>
          <w:bCs/>
          <w:sz w:val="32"/>
          <w:szCs w:val="32"/>
          <w:lang w:bidi="ar"/>
        </w:rPr>
        <w:t>业务报告披露及程序执行方面</w:t>
      </w:r>
    </w:p>
    <w:p w14:paraId="4D2F65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（一）财务报表列报及附注披露</w:t>
      </w:r>
    </w:p>
    <w:p w14:paraId="4DB888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540CE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)财务报表未经被审计单位相关负责人签章。</w:t>
      </w:r>
    </w:p>
    <w:p w14:paraId="050C4B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财务报表列报不完整，未列报利润表及现金流量表的上期数。</w:t>
      </w:r>
    </w:p>
    <w:p w14:paraId="34B84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)财务报表附注披露不完整。其中，主要会计政策、会计估计披露不完整，部分报表项目未披露期初数或上期数、未披露现金流量表相关内容，未披露资产抵押、担保及受限情况，未披露未决诉讼、期后事项等。</w:t>
      </w:r>
    </w:p>
    <w:p w14:paraId="67369F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0EEF95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财务报表应当由被审计单位负责人和主管会计工作的负责人、会计机构负责人（会计主管人员）签名并盖章。</w:t>
      </w:r>
    </w:p>
    <w:p w14:paraId="21D1CF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根据企业会计准则的</w:t>
      </w:r>
      <w:r>
        <w:rPr>
          <w:rFonts w:ascii="仿宋_GB2312" w:hAnsi="仿宋" w:eastAsia="仿宋_GB2312" w:cs="仿宋"/>
          <w:bCs/>
          <w:sz w:val="32"/>
          <w:szCs w:val="32"/>
          <w:lang w:bidi="ar"/>
        </w:rPr>
        <w:t>规定，</w:t>
      </w:r>
      <w:r>
        <w:rPr>
          <w:rFonts w:hint="eastAsia" w:ascii="仿宋_GB2312" w:hAnsi="仿宋" w:eastAsia="仿宋_GB2312" w:cs="仿宋"/>
          <w:bCs/>
          <w:sz w:val="32"/>
          <w:szCs w:val="32"/>
          <w:lang w:bidi="ar"/>
        </w:rPr>
        <w:t>财务报表应当列报各项目上一个可比会计期间的比较数据，以及与理解当期财务报表相关的说明，但其他会计准则另有规定的除外；</w:t>
      </w:r>
    </w:p>
    <w:p w14:paraId="5F17BD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财务报表附注应当结合被审计单位的具体情况披露其重要会计政策及会计估计，应当对报表重要项目采用文字和数字描述相结合的方式进行披露。</w:t>
      </w:r>
    </w:p>
    <w:p w14:paraId="7328BC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39B9C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1501号——对财务报表形成审计意见和出具审计报告》第十四条“注册会计师应当依据适用的财务报告编制基础特别评价下列内容：（一）财务报表是否恰当披露了所选择和运用的重要会计政策。作出这一评价时，注册会计师应当考虑会计政策与被审计单位的相关性，以及会计政策是否以可理解的方式予以表述；（二）所选择和运用的会计政策是否符合适用的财务报告编制基础，并适合被审计单位的具体情况；（三）管理层作出的会计估计和相关披露是否合理；（四）财务报表列报的信息是否具有相关性、可靠性、可比性和可理解性。作出这一评价时，注册会计师应当考虑：1.应当包括的信息是否均已包括，这些信息的分类、汇总或分解以及描述是否适当；2．财务报表的总体列报（包括披露）是否由于包括不相关的信息或有碍正确理解所披露事项的信息而受到不利影响。（五）财务报表是否作出充分披露，使预期使用者能够理解重大交易和事项对财务报表所传递信息的影响</w:t>
      </w:r>
      <w:bookmarkStart w:id="0" w:name="OLE_LINK5"/>
      <w:r>
        <w:rPr>
          <w:rFonts w:ascii="仿宋_GB2312" w:hAnsi="仿宋" w:eastAsia="仿宋_GB2312" w:cs="仿宋"/>
          <w:bCs/>
          <w:sz w:val="32"/>
          <w:szCs w:val="32"/>
          <w:lang w:bidi="ar"/>
        </w:rPr>
        <w:t>……</w:t>
      </w:r>
      <w:bookmarkEnd w:id="0"/>
      <w:r>
        <w:rPr>
          <w:rFonts w:hint="eastAsia" w:ascii="仿宋_GB2312" w:hAnsi="仿宋" w:eastAsia="仿宋_GB2312" w:cs="仿宋"/>
          <w:bCs/>
          <w:sz w:val="32"/>
          <w:szCs w:val="32"/>
          <w:lang w:bidi="ar"/>
        </w:rPr>
        <w:t>”、第四十二条“在确定审计报告日时，注册会计师应当确信已获取下列两方面的审计证据：（一）构成整套财务报表的所有报表（含披露）已编制完成；（二）被审计单位的董事会、管理层或类似机构已经认可其对财务报表负责”。</w:t>
      </w:r>
    </w:p>
    <w:p w14:paraId="41AC80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《中华人民共和国会计法》（2024年修正）第十九条“单位提供的担保、未决诉讼等或有事项，应当按照国家统一的会计制度的规定，在财务会计报告中予以说明”、第二十条“</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有关法律、行政法规规定财务会计报告须经注册会计师审计的，注册会计师及其所在的会计师事务所出具的审计报告应当随同财务会计报告一并提供”、第二十一条“财务会计报告应当由单位负责人和主管会计工作的负责人、会计机构负责人（会计主管人员）签名并盖章；设置总会计师的单位，还须由总会计师签名并盖章”。</w:t>
      </w:r>
    </w:p>
    <w:p w14:paraId="6F06D6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企业会计准则第30号——财务报表列报》第十二条第一款“当期财务报表的列报，至少应当提供所有列报项目上一个可比会计期间的比较数据，以及与理解当期财务报表相关的说明，但其他会计准则另有规定的除外”、第三十七条“附注是对在资产负债表、利润表、现金流量表和所有者权益变动表等报表中列示项目的文字描述或明细资料，以及对未能在这些报表中列示项目的说明等”、第三十九条“附注一般应当按照下列顺序至少披露：</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四）重要会计政策和会计估计。重要会计政策的说明，包括财务报表项目的计量基础和在运用会计政策过程中所做的重要判断等。重要会计估计的说明，包括可能导致下一个会计期间内资产、负债账面价值重大调整的会计估计的确定依据等。企业应当披露采用的重要会计政策和会计估计，并结合企业的具体实际披露其重要会计政策的确定依据和财务报表项目的计量基础，及其会计估计所采用的关键假设和不确定因素。（五）会计政策和会计估计变更以及差错更正的说明。企业应当按照《企业会计准则第28号——会计政策、会计估计变更和差错更正》的规定，披露会计政策和会计估计变更以及差错更正的情况。（六）报表重要项目的说明。企业应当按照资产负债表、利润表、现金流量表、所有者权益变动表及其项目列示的顺序，对报表重要项目的说明采用文字和数字描述相结合的方式进行披露。报表重要项目的明细金额合计，应当与报表项目金额相衔接。企业应当在附注中披露费用按照性质分类的利润表补充资料，可将费用分为耗用的原材料、职工薪酬费用、折旧费用、摊销费用等。（七）或有和承诺事项、资产负债表日后非调整事项、关联方关系及其交易等需要说明的事项</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6CB36F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（二）审计计划编制</w:t>
      </w:r>
    </w:p>
    <w:p w14:paraId="734AE3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仿宋"/>
          <w:b/>
          <w:bCs/>
          <w:sz w:val="32"/>
          <w:szCs w:val="32"/>
          <w:lang w:bidi="ar"/>
        </w:rPr>
      </w:pPr>
      <w:r>
        <w:rPr>
          <w:rFonts w:hint="eastAsia" w:ascii="仿宋_GB2312" w:hAnsi="黑体" w:eastAsia="仿宋_GB2312" w:cs="仿宋"/>
          <w:b/>
          <w:bCs/>
          <w:sz w:val="32"/>
          <w:szCs w:val="32"/>
          <w:lang w:bidi="ar"/>
        </w:rPr>
        <w:t>1.主要问题</w:t>
      </w:r>
    </w:p>
    <w:p w14:paraId="4B38D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未编制总体审计策略和具体审计计划，或编制流于形式，或内容不完整。</w:t>
      </w:r>
    </w:p>
    <w:p w14:paraId="71D522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仿宋"/>
          <w:b/>
          <w:bCs/>
          <w:sz w:val="32"/>
          <w:szCs w:val="32"/>
          <w:lang w:bidi="ar"/>
        </w:rPr>
      </w:pPr>
      <w:r>
        <w:rPr>
          <w:rFonts w:hint="eastAsia" w:ascii="仿宋_GB2312" w:hAnsi="黑体" w:eastAsia="仿宋_GB2312" w:cs="仿宋"/>
          <w:b/>
          <w:bCs/>
          <w:sz w:val="32"/>
          <w:szCs w:val="32"/>
          <w:lang w:bidi="ar"/>
        </w:rPr>
        <w:t>2.指导意见</w:t>
      </w:r>
    </w:p>
    <w:p w14:paraId="7E8CA0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注册会计师应当制定总体审计策略和具体审计计划，使审计工作以有效的方式得到执行。</w:t>
      </w:r>
    </w:p>
    <w:p w14:paraId="1A6B76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119B62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中国注册会计师审计准则第1201号——计划审计工作》第七条“注册会计师应当制定总体审计策略，以确定审计工作的范围、时间安排和方向，并指导具体审计计划的制定”、第八条“在制定总体审计策略时，注册会计师应当考虑按照《中国注册会计师审计准则第1121号——对财务报表审计实施的质量管理》的要求获取的信息，并采取下列措施：（一）确定审计业务的特征，以界定审计范围；（二）明确审计业务的报告目标，以计划审计的时间安排和所需沟通的性质；（三）根据职业判断，考虑用以指导项目组工作方向的重要因素；（四）考虑初步业务活动的结果，并考虑项目合伙人对被审计单位执行其他业务时获得的经验是否与审计业务相关（如适用）；（五）确定执行业务所需资源的性质、时间安排和范围”、第九条“注册会计师应当制定具体审计计划。具体审计计划应当包括下列内容：（一）计划对项目组成员实施指导、监督并复核其工作的性质、时间安排和范围；（二）按照《中国注册会计师审计准则第1211号——重大错报风险的识别和评估》的规定，计划实施的风险评估程序的性质、时间安排和范围；（三）按照《中国注册会计师审计准则第1231号——针对评估的重大错报风险采取的应对措施》的规定，在认定层次计划实施的进一步审计程序的性质、时间安排和范围；（四）根据审计准则的规定，计划应当实施的其他审计程序”、第十条“在审计过程中，注册会计师应当在必要时对总体审计策略和具体审计计划作出更新和修改”、第十一条“注册会计师应当就下列事项形成审计工作底稿：（一）总体审计策略；（二）具体审计计划；（三）在审计过程中对总体审计策略或具体审计计划作出的任何重大修改及其理由，包括对项目组成员实施指导、监督和复核的计划作出的重大修改及其理由”。</w:t>
      </w:r>
    </w:p>
    <w:p w14:paraId="695ED4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sz w:val="32"/>
          <w:szCs w:val="32"/>
          <w:lang w:bidi="ar"/>
        </w:rPr>
      </w:pPr>
      <w:r>
        <w:rPr>
          <w:rFonts w:hint="eastAsia" w:ascii="楷体_GB2312" w:hAnsi="黑体" w:eastAsia="楷体_GB2312" w:cs="仿宋"/>
          <w:b/>
          <w:sz w:val="32"/>
          <w:szCs w:val="32"/>
          <w:lang w:bidi="ar"/>
        </w:rPr>
        <w:t>（三）风险评估程序执行</w:t>
      </w:r>
    </w:p>
    <w:p w14:paraId="7619CC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56CCE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)风险评估程序未执行或形式化。</w:t>
      </w:r>
    </w:p>
    <w:p w14:paraId="0CEF4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业务规模小、收费低或多年连续审计项目，未执行风险评估程序。</w:t>
      </w:r>
    </w:p>
    <w:p w14:paraId="52A1E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集团合并报表审计中，仅在集团层面执行风险评估程序，在对各组成部分的个别报表单独出具审计报告时，未在组成部分的个别报表层面执行风险评估程序。</w:t>
      </w:r>
    </w:p>
    <w:p w14:paraId="28F6BA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bookmarkStart w:id="1" w:name="OLE_LINK2"/>
      <w:bookmarkStart w:id="2" w:name="OLE_LINK1"/>
      <w:r>
        <w:rPr>
          <w:rFonts w:hint="eastAsia" w:ascii="仿宋_GB2312" w:hAnsi="仿宋" w:eastAsia="仿宋_GB2312" w:cs="仿宋"/>
          <w:b/>
          <w:bCs/>
          <w:sz w:val="32"/>
          <w:szCs w:val="32"/>
          <w:lang w:bidi="ar"/>
        </w:rPr>
        <w:t>2.指导意见</w:t>
      </w:r>
      <w:bookmarkEnd w:id="1"/>
      <w:bookmarkEnd w:id="2"/>
    </w:p>
    <w:p w14:paraId="1C628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无论被审计单位业务规模大小、审计收费高低，注册会计师均应识别、评估财务报表层次和认定层次重大错报风险，从而为设计和实施应对措施提供依据；连续提供审计服务时，应当评价以前服务被审计单位的经验和获取的信息作为审计证据是否仍然相关和可靠；在集团审计中，对重要组成部分财务信息执行审计并出具审计报告，亦应对组成部分实施风险评估程序，为设计和实施应对措施提供依据，同时识别导致集团财务报表发生重大错报的特别风险。</w:t>
      </w:r>
    </w:p>
    <w:p w14:paraId="0AF36C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3799DB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1211号——重大错报风险的识别和评估》第十八条“注册会计师应当设计和实施风险评估程序，以获取审计证据，为下列方面提供依据：（一）识别、评估财务报表层次和认定层次重大错报风险，无论该错报是舞弊导致的，还是错误导致的；（二）按照《中国注册会计师审计准则第</w:t>
      </w:r>
      <w:r>
        <w:rPr>
          <w:rFonts w:ascii="仿宋_GB2312" w:hAnsi="仿宋" w:eastAsia="仿宋_GB2312" w:cs="仿宋"/>
          <w:bCs/>
          <w:sz w:val="32"/>
          <w:szCs w:val="32"/>
          <w:lang w:bidi="ar"/>
        </w:rPr>
        <w:t>1231号——针对评估的重</w:t>
      </w:r>
      <w:r>
        <w:rPr>
          <w:rFonts w:hint="eastAsia" w:ascii="仿宋_GB2312" w:hAnsi="仿宋" w:eastAsia="仿宋_GB2312" w:cs="仿宋"/>
          <w:bCs/>
          <w:sz w:val="32"/>
          <w:szCs w:val="32"/>
          <w:lang w:bidi="ar"/>
        </w:rPr>
        <w:t>大错报风险采取的应对措施》的规定，设计进一步审计程序。注册会计师在设计和实施风险评估程序时，不应当偏向于获取佐证性的审计证据，也不应当排斥相矛盾的审计证据”、第十九条“</w:t>
      </w:r>
      <w:r>
        <w:rPr>
          <w:rFonts w:ascii="仿宋_GB2312" w:hAnsi="仿宋" w:eastAsia="仿宋_GB2312" w:cs="仿宋"/>
          <w:bCs/>
          <w:sz w:val="32"/>
          <w:szCs w:val="32"/>
          <w:lang w:bidi="ar"/>
        </w:rPr>
        <w:t>风险评估程序应当包括下列程序：</w:t>
      </w:r>
      <w:r>
        <w:rPr>
          <w:rFonts w:hint="eastAsia" w:ascii="仿宋_GB2312" w:hAnsi="仿宋" w:eastAsia="仿宋_GB2312" w:cs="仿宋"/>
          <w:bCs/>
          <w:sz w:val="32"/>
          <w:szCs w:val="32"/>
          <w:lang w:bidi="ar"/>
        </w:rPr>
        <w:t>（一）询问管理层和被审计单位内部其他合适人员，包括内部审计人员；（二）分析程序；（三）观察和检查”、第二十一条“注册会计师如果利用以前服务被审计单位的经验，或者利用以前审计时实施审计程序获取的信息，应当评价将这些经验和信息作为审计证据是否仍然相关和可靠”。</w:t>
      </w:r>
    </w:p>
    <w:p w14:paraId="24973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《中国注册会计师审计准则第1401号——对集团财务报表审计的特殊考虑》第七条“</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在集团审计中，审计风险包括组成部分注册会计师可能没有发现组成部分财务信息存在的错报（该错报导致集团财务报表发生重大错报）的风险，以及集团项目组可能没有发现该错报的风险。本准则规定了在组成部分注册会计师对组成部分财务信息实施风险评估程序和进一步审计程序时，集团项目组在确定参与组成部分注册会计师工作的性质、时间安排和范围时需要考虑的事项</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”、第四十三条“如果组成部分注册会计师对重要组成部分财务信息执行审计，集团项目组应当参与组成部分注册会计师实施的风险评估程序，以识别导致集团财务报表发生重大错报的特别风险</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4E6521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（四）重要性水平确定</w:t>
      </w:r>
    </w:p>
    <w:p w14:paraId="7AC0C3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77EA0C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仅确定财务报表整体重要性水平的基准和比例，未确定具体金额；未确定实际执行的重要性水平及明显微小错报的临界值。</w:t>
      </w:r>
    </w:p>
    <w:p w14:paraId="4CF4A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部分注册会计师选择了较大的基准和比例，确定了较大数值的重要性水平，比如以资产总额、营业收入、利润总额三者数值最大</w:t>
      </w:r>
      <w:r>
        <w:rPr>
          <w:rFonts w:ascii="仿宋_GB2312" w:hAnsi="仿宋" w:eastAsia="仿宋_GB2312" w:cs="仿宋"/>
          <w:bCs/>
          <w:sz w:val="32"/>
          <w:szCs w:val="32"/>
          <w:lang w:bidi="ar"/>
        </w:rPr>
        <w:t>的项目</w:t>
      </w:r>
      <w:r>
        <w:rPr>
          <w:rFonts w:hint="eastAsia" w:ascii="仿宋_GB2312" w:hAnsi="仿宋" w:eastAsia="仿宋_GB2312" w:cs="仿宋"/>
          <w:bCs/>
          <w:sz w:val="32"/>
          <w:szCs w:val="32"/>
          <w:lang w:bidi="ar"/>
        </w:rPr>
        <w:t>作为基准，选择较大比例（如资产总额的</w:t>
      </w:r>
      <w:r>
        <w:rPr>
          <w:rFonts w:ascii="仿宋_GB2312" w:hAnsi="仿宋" w:eastAsia="仿宋_GB2312" w:cs="仿宋"/>
          <w:bCs/>
          <w:sz w:val="32"/>
          <w:szCs w:val="32"/>
          <w:lang w:bidi="ar"/>
        </w:rPr>
        <w:t>5%、营业收入的2%、利润总额的10%），</w:t>
      </w:r>
      <w:r>
        <w:rPr>
          <w:rFonts w:hint="eastAsia" w:ascii="仿宋_GB2312" w:hAnsi="仿宋" w:eastAsia="仿宋_GB2312" w:cs="仿宋"/>
          <w:bCs/>
          <w:sz w:val="32"/>
          <w:szCs w:val="32"/>
          <w:lang w:bidi="ar"/>
        </w:rPr>
        <w:t>确定</w:t>
      </w:r>
      <w:r>
        <w:rPr>
          <w:rFonts w:ascii="仿宋_GB2312" w:hAnsi="仿宋" w:eastAsia="仿宋_GB2312" w:cs="仿宋"/>
          <w:bCs/>
          <w:sz w:val="32"/>
          <w:szCs w:val="32"/>
          <w:lang w:bidi="ar"/>
        </w:rPr>
        <w:t>的</w:t>
      </w:r>
      <w:r>
        <w:rPr>
          <w:rFonts w:hint="eastAsia" w:ascii="仿宋_GB2312" w:hAnsi="仿宋" w:eastAsia="仿宋_GB2312" w:cs="仿宋"/>
          <w:bCs/>
          <w:sz w:val="32"/>
          <w:szCs w:val="32"/>
          <w:lang w:bidi="ar"/>
        </w:rPr>
        <w:t>重要性</w:t>
      </w:r>
      <w:r>
        <w:rPr>
          <w:rFonts w:ascii="仿宋_GB2312" w:hAnsi="仿宋" w:eastAsia="仿宋_GB2312" w:cs="仿宋"/>
          <w:bCs/>
          <w:sz w:val="32"/>
          <w:szCs w:val="32"/>
          <w:lang w:bidi="ar"/>
        </w:rPr>
        <w:t>水平金额较</w:t>
      </w:r>
      <w:r>
        <w:rPr>
          <w:rFonts w:hint="eastAsia" w:ascii="仿宋_GB2312" w:hAnsi="仿宋" w:eastAsia="仿宋_GB2312" w:cs="仿宋"/>
          <w:bCs/>
          <w:sz w:val="32"/>
          <w:szCs w:val="32"/>
          <w:lang w:bidi="ar"/>
        </w:rPr>
        <w:t>高。</w:t>
      </w:r>
      <w:r>
        <w:rPr>
          <w:rFonts w:ascii="仿宋_GB2312" w:hAnsi="仿宋" w:eastAsia="仿宋_GB2312" w:cs="仿宋"/>
          <w:bCs/>
          <w:sz w:val="32"/>
          <w:szCs w:val="32"/>
          <w:lang w:bidi="ar"/>
        </w:rPr>
        <w:t>实务中</w:t>
      </w:r>
      <w:r>
        <w:rPr>
          <w:rFonts w:hint="eastAsia" w:ascii="仿宋_GB2312" w:hAnsi="仿宋" w:eastAsia="仿宋_GB2312" w:cs="仿宋"/>
          <w:bCs/>
          <w:sz w:val="32"/>
          <w:szCs w:val="32"/>
          <w:lang w:bidi="ar"/>
        </w:rPr>
        <w:t>,重要性水平的金额如何</w:t>
      </w:r>
      <w:r>
        <w:rPr>
          <w:rFonts w:ascii="仿宋_GB2312" w:hAnsi="仿宋" w:eastAsia="仿宋_GB2312" w:cs="仿宋"/>
          <w:bCs/>
          <w:sz w:val="32"/>
          <w:szCs w:val="32"/>
          <w:lang w:bidi="ar"/>
        </w:rPr>
        <w:t>确定，以及</w:t>
      </w:r>
      <w:r>
        <w:rPr>
          <w:rFonts w:hint="eastAsia" w:ascii="仿宋_GB2312" w:hAnsi="仿宋" w:eastAsia="仿宋_GB2312" w:cs="仿宋"/>
          <w:bCs/>
          <w:sz w:val="32"/>
          <w:szCs w:val="32"/>
          <w:lang w:bidi="ar"/>
        </w:rPr>
        <w:t>确定</w:t>
      </w:r>
      <w:r>
        <w:rPr>
          <w:rFonts w:ascii="仿宋_GB2312" w:hAnsi="仿宋" w:eastAsia="仿宋_GB2312" w:cs="仿宋"/>
          <w:bCs/>
          <w:sz w:val="32"/>
          <w:szCs w:val="32"/>
          <w:lang w:bidi="ar"/>
        </w:rPr>
        <w:t>为</w:t>
      </w:r>
      <w:r>
        <w:rPr>
          <w:rFonts w:hint="eastAsia" w:ascii="仿宋_GB2312" w:hAnsi="仿宋" w:eastAsia="仿宋_GB2312" w:cs="仿宋"/>
          <w:bCs/>
          <w:sz w:val="32"/>
          <w:szCs w:val="32"/>
          <w:lang w:bidi="ar"/>
        </w:rPr>
        <w:t>多少才算是恰当的。</w:t>
      </w:r>
    </w:p>
    <w:p w14:paraId="10ADE9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650BA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注册会计师应当在计划和执行审计工作时恰当地运用重要性概念，正确确定财务报表整体的重要性水平及实际执行的重要性水平、明显微小错报的临界值。</w:t>
      </w:r>
    </w:p>
    <w:p w14:paraId="4EE17F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审计准则和应用</w:t>
      </w:r>
      <w:r>
        <w:rPr>
          <w:rFonts w:ascii="仿宋_GB2312" w:hAnsi="仿宋" w:eastAsia="仿宋_GB2312" w:cs="仿宋"/>
          <w:bCs/>
          <w:sz w:val="32"/>
          <w:szCs w:val="32"/>
          <w:lang w:bidi="ar"/>
        </w:rPr>
        <w:t>指南</w:t>
      </w:r>
      <w:r>
        <w:rPr>
          <w:rFonts w:hint="eastAsia" w:ascii="仿宋_GB2312" w:hAnsi="仿宋" w:eastAsia="仿宋_GB2312" w:cs="仿宋"/>
          <w:bCs/>
          <w:sz w:val="32"/>
          <w:szCs w:val="32"/>
          <w:lang w:bidi="ar"/>
        </w:rPr>
        <w:t>对</w:t>
      </w:r>
      <w:r>
        <w:rPr>
          <w:rFonts w:ascii="仿宋_GB2312" w:hAnsi="仿宋" w:eastAsia="仿宋_GB2312" w:cs="仿宋"/>
          <w:bCs/>
          <w:sz w:val="32"/>
          <w:szCs w:val="32"/>
          <w:lang w:bidi="ar"/>
        </w:rPr>
        <w:t>重要性水平的金额</w:t>
      </w:r>
      <w:r>
        <w:rPr>
          <w:rFonts w:hint="eastAsia" w:ascii="仿宋_GB2312" w:hAnsi="仿宋" w:eastAsia="仿宋_GB2312" w:cs="仿宋"/>
          <w:bCs/>
          <w:sz w:val="32"/>
          <w:szCs w:val="32"/>
          <w:lang w:bidi="ar"/>
        </w:rPr>
        <w:t>确定</w:t>
      </w:r>
      <w:r>
        <w:rPr>
          <w:rFonts w:ascii="仿宋_GB2312" w:hAnsi="仿宋" w:eastAsia="仿宋_GB2312" w:cs="仿宋"/>
          <w:bCs/>
          <w:sz w:val="32"/>
          <w:szCs w:val="32"/>
          <w:lang w:bidi="ar"/>
        </w:rPr>
        <w:t>为</w:t>
      </w:r>
      <w:r>
        <w:rPr>
          <w:rFonts w:hint="eastAsia" w:ascii="仿宋_GB2312" w:hAnsi="仿宋" w:eastAsia="仿宋_GB2312" w:cs="仿宋"/>
          <w:bCs/>
          <w:sz w:val="32"/>
          <w:szCs w:val="32"/>
          <w:lang w:bidi="ar"/>
        </w:rPr>
        <w:t>多少合适，</w:t>
      </w:r>
      <w:r>
        <w:rPr>
          <w:rFonts w:ascii="仿宋_GB2312" w:hAnsi="仿宋" w:eastAsia="仿宋_GB2312" w:cs="仿宋"/>
          <w:bCs/>
          <w:sz w:val="32"/>
          <w:szCs w:val="32"/>
          <w:lang w:bidi="ar"/>
        </w:rPr>
        <w:t>没有约束性规定</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只是强调了“合理性”的要求。</w:t>
      </w:r>
      <w:r>
        <w:rPr>
          <w:rFonts w:hint="eastAsia" w:ascii="仿宋_GB2312" w:hAnsi="仿宋" w:eastAsia="仿宋_GB2312" w:cs="仿宋"/>
          <w:bCs/>
          <w:sz w:val="32"/>
          <w:szCs w:val="32"/>
          <w:lang w:bidi="ar"/>
        </w:rPr>
        <w:t>问题</w:t>
      </w:r>
      <w:r>
        <w:rPr>
          <w:rFonts w:ascii="仿宋_GB2312" w:hAnsi="仿宋" w:eastAsia="仿宋_GB2312" w:cs="仿宋"/>
          <w:bCs/>
          <w:sz w:val="32"/>
          <w:szCs w:val="32"/>
          <w:lang w:bidi="ar"/>
        </w:rPr>
        <w:t>解答给出了参考基准和百分</w:t>
      </w:r>
      <w:r>
        <w:rPr>
          <w:rFonts w:hint="eastAsia" w:ascii="仿宋_GB2312" w:hAnsi="仿宋" w:eastAsia="仿宋_GB2312" w:cs="仿宋"/>
          <w:bCs/>
          <w:sz w:val="32"/>
          <w:szCs w:val="32"/>
          <w:lang w:bidi="ar"/>
        </w:rPr>
        <w:t>比</w:t>
      </w:r>
      <w:r>
        <w:rPr>
          <w:rFonts w:ascii="仿宋_GB2312" w:hAnsi="仿宋" w:eastAsia="仿宋_GB2312" w:cs="仿宋"/>
          <w:bCs/>
          <w:sz w:val="32"/>
          <w:szCs w:val="32"/>
          <w:lang w:bidi="ar"/>
        </w:rPr>
        <w:t>，但并非规定。注册会计师应综合考虑被审计单位的性质、内部控制与审计风险的评估结果、经营规模和业务范围、管理层及外部考核指标、错报漏报的性质、会计报表使用人重点</w:t>
      </w:r>
      <w:r>
        <w:rPr>
          <w:rFonts w:hint="eastAsia" w:ascii="仿宋_GB2312" w:hAnsi="仿宋" w:eastAsia="仿宋_GB2312" w:cs="仿宋"/>
          <w:bCs/>
          <w:sz w:val="32"/>
          <w:szCs w:val="32"/>
          <w:lang w:bidi="ar"/>
        </w:rPr>
        <w:t>关注</w:t>
      </w:r>
      <w:r>
        <w:rPr>
          <w:rFonts w:ascii="仿宋_GB2312" w:hAnsi="仿宋" w:eastAsia="仿宋_GB2312" w:cs="仿宋"/>
          <w:bCs/>
          <w:sz w:val="32"/>
          <w:szCs w:val="32"/>
          <w:lang w:bidi="ar"/>
        </w:rPr>
        <w:t>的内容等因素，合理运用自身职业判断对重要性水平</w:t>
      </w:r>
      <w:r>
        <w:rPr>
          <w:rFonts w:hint="eastAsia" w:ascii="仿宋_GB2312" w:hAnsi="仿宋" w:eastAsia="仿宋_GB2312" w:cs="仿宋"/>
          <w:bCs/>
          <w:sz w:val="32"/>
          <w:szCs w:val="32"/>
          <w:lang w:bidi="ar"/>
        </w:rPr>
        <w:t>进行</w:t>
      </w:r>
      <w:r>
        <w:rPr>
          <w:rFonts w:ascii="仿宋_GB2312" w:hAnsi="仿宋" w:eastAsia="仿宋_GB2312" w:cs="仿宋"/>
          <w:bCs/>
          <w:sz w:val="32"/>
          <w:szCs w:val="32"/>
          <w:lang w:bidi="ar"/>
        </w:rPr>
        <w:t>设定，并根据业务实施进程做出修订</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以满足降低审计风险，支持发表合理审计</w:t>
      </w:r>
      <w:r>
        <w:rPr>
          <w:rFonts w:hint="eastAsia" w:ascii="仿宋_GB2312" w:hAnsi="仿宋" w:eastAsia="仿宋_GB2312" w:cs="仿宋"/>
          <w:bCs/>
          <w:sz w:val="32"/>
          <w:szCs w:val="32"/>
          <w:lang w:bidi="ar"/>
        </w:rPr>
        <w:t>意见的目的。</w:t>
      </w:r>
    </w:p>
    <w:p w14:paraId="0C2358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42F55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《中国注册会计师审计准则第1221号——计划和执行审计工作时的重要性》第七条“</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在计划审计工作时确定的重要性（即</w:t>
      </w:r>
      <w:r>
        <w:rPr>
          <w:rFonts w:hint="eastAsia" w:ascii="仿宋_GB2312" w:hAnsi="仿宋" w:eastAsia="仿宋_GB2312" w:cs="仿宋"/>
          <w:sz w:val="32"/>
          <w:szCs w:val="32"/>
          <w:lang w:bidi="ar"/>
        </w:rPr>
        <w:t>确定的某一金额</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”、第八条“实际执行的重要性，是指注册会计师确定的低于财务报表整体的重要性的</w:t>
      </w:r>
      <w:r>
        <w:rPr>
          <w:rFonts w:hint="eastAsia" w:ascii="仿宋_GB2312" w:hAnsi="仿宋" w:eastAsia="仿宋_GB2312" w:cs="仿宋"/>
          <w:sz w:val="32"/>
          <w:szCs w:val="32"/>
          <w:lang w:bidi="ar"/>
        </w:rPr>
        <w:t>一个或多个金额</w:t>
      </w:r>
      <w:r>
        <w:rPr>
          <w:rFonts w:hint="eastAsia" w:ascii="仿宋_GB2312" w:hAnsi="仿宋" w:eastAsia="仿宋_GB2312" w:cs="仿宋"/>
          <w:bCs/>
          <w:sz w:val="32"/>
          <w:szCs w:val="32"/>
          <w:lang w:bidi="ar"/>
        </w:rPr>
        <w:t>，旨在将未更正和未发现错报的汇总数超过财务报表整体的重要性的可能性降至适当的低水平。如果适用，实际执行的重要性还指注册会计师确定的低于特定类别的交易、账户余额或披露的重要性水平的一个或多个金额”、第九条“注册会计师的目标是，在计划和执行审计工作时恰当地运用重要性概念”、第十条“在制定总体审计策略时，注册会计师应当确定财务报表整体的重要性”、第十一条“注册会计师应当确定实际执行的重要性，以评估重大错报风险并确定进一步审计程序的性质、时间安排和范围”、第十四条“注册会计师应当在审计工作底稿中记录下列金额以及在确定这些金额时考虑的因素：</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4C2898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国注册会计师审计准则第1251号——评价审计过程中识别出的错报》第六条“注册会计师应当累积审计过程中识别出的错报，除非错报明显微小”、第十二条“注册会计师应当确定未更正错报单独或汇总起来是否重大。在确定时，注册会计师应当考虑：（一）相对特定类别的交易、账户余额或披露以及财务报表整体而言，错报的金额和性质以及错报发生的特定环境；（二）与以前期间相关的未更正错报对有关类别的交易、账户余额或披露以及财务报表整体的影响”、第十六条“注册会计师应当就下列事项形成审计工作底稿：（一）设定的</w:t>
      </w:r>
      <w:r>
        <w:rPr>
          <w:rFonts w:hint="eastAsia" w:ascii="仿宋_GB2312" w:hAnsi="仿宋" w:eastAsia="仿宋_GB2312" w:cs="仿宋"/>
          <w:sz w:val="32"/>
          <w:szCs w:val="32"/>
          <w:lang w:bidi="ar"/>
        </w:rPr>
        <w:t>某一金额</w:t>
      </w:r>
      <w:r>
        <w:rPr>
          <w:rFonts w:hint="eastAsia" w:ascii="仿宋_GB2312" w:hAnsi="仿宋" w:eastAsia="仿宋_GB2312" w:cs="仿宋"/>
          <w:bCs/>
          <w:sz w:val="32"/>
          <w:szCs w:val="32"/>
          <w:lang w:bidi="ar"/>
        </w:rPr>
        <w:t>，低于该金额的错报视为明显微小</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417682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《中国注册会计师审计准则问题解答第</w:t>
      </w:r>
      <w:r>
        <w:rPr>
          <w:rFonts w:ascii="仿宋_GB2312" w:hAnsi="仿宋" w:eastAsia="仿宋_GB2312" w:cs="仿宋"/>
          <w:bCs/>
          <w:sz w:val="32"/>
          <w:szCs w:val="32"/>
          <w:lang w:bidi="ar"/>
        </w:rPr>
        <w:t>8号——重要性及评价错报》“本问题解答中包含的基准和百分比均为举例，并非规定。注册会计师需要根据被审计单位和审计业务的具体情况，运用职业判断作出适当的选择和调整”</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注册会计师应当在审计工作底稿中充分记录在选定基准和百分比时所考虑的因素，作为支持其作出的职业判断的依据</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6795C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(4)</w:t>
      </w:r>
      <w:r>
        <w:rPr>
          <w:rFonts w:hint="eastAsia" w:ascii="仿宋_GB2312" w:hAnsi="仿宋" w:eastAsia="仿宋_GB2312" w:cs="仿宋"/>
          <w:bCs/>
          <w:sz w:val="32"/>
          <w:szCs w:val="32"/>
          <w:lang w:bidi="ar"/>
        </w:rPr>
        <w:t>参考</w:t>
      </w:r>
      <w:r>
        <w:rPr>
          <w:rFonts w:ascii="仿宋_GB2312" w:hAnsi="仿宋" w:eastAsia="仿宋_GB2312" w:cs="仿宋"/>
          <w:bCs/>
          <w:sz w:val="32"/>
          <w:szCs w:val="32"/>
          <w:lang w:bidi="ar"/>
        </w:rPr>
        <w:t>案例：2024年8月12日，</w:t>
      </w:r>
      <w:bookmarkStart w:id="3" w:name="OLE_LINK3"/>
      <w:r>
        <w:rPr>
          <w:rFonts w:hint="eastAsia" w:ascii="仿宋_GB2312" w:hAnsi="仿宋" w:eastAsia="仿宋_GB2312" w:cs="仿宋"/>
          <w:bCs/>
          <w:sz w:val="32"/>
          <w:szCs w:val="32"/>
          <w:lang w:bidi="ar"/>
        </w:rPr>
        <w:t>X</w:t>
      </w:r>
      <w:r>
        <w:rPr>
          <w:rFonts w:ascii="仿宋_GB2312" w:hAnsi="仿宋" w:eastAsia="仿宋_GB2312" w:cs="仿宋"/>
          <w:bCs/>
          <w:sz w:val="32"/>
          <w:szCs w:val="32"/>
          <w:lang w:bidi="ar"/>
        </w:rPr>
        <w:t>X</w:t>
      </w:r>
      <w:bookmarkEnd w:id="3"/>
      <w:r>
        <w:rPr>
          <w:rFonts w:ascii="仿宋_GB2312" w:hAnsi="仿宋" w:eastAsia="仿宋_GB2312" w:cs="仿宋"/>
          <w:bCs/>
          <w:sz w:val="32"/>
          <w:szCs w:val="32"/>
          <w:lang w:bidi="ar"/>
        </w:rPr>
        <w:t>智能的审计机构及2名注册会计师收到广东证监局出具的警示函，涉及问题“其一，重要性水平确定存在缺陷。</w:t>
      </w:r>
      <w:r>
        <w:rPr>
          <w:rFonts w:hint="eastAsia" w:ascii="仿宋_GB2312" w:hAnsi="仿宋" w:eastAsia="仿宋_GB2312" w:cs="仿宋"/>
          <w:bCs/>
          <w:sz w:val="32"/>
          <w:szCs w:val="32"/>
          <w:lang w:bidi="ar"/>
        </w:rPr>
        <w:t>事务所</w:t>
      </w:r>
      <w:r>
        <w:rPr>
          <w:rFonts w:ascii="仿宋_GB2312" w:hAnsi="仿宋" w:eastAsia="仿宋_GB2312" w:cs="仿宋"/>
          <w:bCs/>
          <w:sz w:val="32"/>
          <w:szCs w:val="32"/>
          <w:lang w:bidi="ar"/>
        </w:rPr>
        <w:t>采用</w:t>
      </w:r>
      <w:r>
        <w:rPr>
          <w:rFonts w:hint="eastAsia" w:ascii="仿宋_GB2312" w:hAnsi="仿宋" w:eastAsia="仿宋_GB2312" w:cs="仿宋"/>
          <w:bCs/>
          <w:sz w:val="32"/>
          <w:szCs w:val="32"/>
          <w:lang w:bidi="ar"/>
        </w:rPr>
        <w:t>X</w:t>
      </w:r>
      <w:r>
        <w:rPr>
          <w:rFonts w:ascii="仿宋_GB2312" w:hAnsi="仿宋" w:eastAsia="仿宋_GB2312" w:cs="仿宋"/>
          <w:bCs/>
          <w:sz w:val="32"/>
          <w:szCs w:val="32"/>
          <w:lang w:bidi="ar"/>
        </w:rPr>
        <w:t>X智能2022年年报业绩预告利润总额作为计算基准，选用7.5%作为确定集团层面财务报表整体重要性的百分比，未充分考虑被审计单位近年来经营状况大幅度波动的实际情况，未在底稿</w:t>
      </w:r>
      <w:r>
        <w:rPr>
          <w:rFonts w:hint="eastAsia" w:ascii="仿宋_GB2312" w:hAnsi="仿宋" w:eastAsia="仿宋_GB2312" w:cs="仿宋"/>
          <w:bCs/>
          <w:sz w:val="32"/>
          <w:szCs w:val="32"/>
          <w:lang w:bidi="ar"/>
        </w:rPr>
        <w:t>中充分解释重要性水平基准选择合理性及百分比选择恰当性”。</w:t>
      </w:r>
    </w:p>
    <w:p w14:paraId="4EB567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（五）其他项目审计程序执行</w:t>
      </w:r>
    </w:p>
    <w:p w14:paraId="528957F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660941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对舞弊风险评估与应对、对法律法规的考虑（如适用）、诉讼和索赔、会计估计、关联方关系及其交易、持续经营、期后事项等相关审计程序未执行或形式化。</w:t>
      </w:r>
    </w:p>
    <w:p w14:paraId="66020E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610E53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注册会计师应当对舞弊风险评估与应对、被审计单位及其所处行业或领域所适用的法律法规的考虑、诉讼和索赔、会计估计、关联方关系及其交易、持续经营、期后事项等实施相关审计程序，以恰当应对审计过程中识别出的舞弊或舞弊嫌疑、违反法律法规行为、诉讼和索赔事项，评价会计估计和相关披露的合理性、关联方关系及其交易是否已恰当识别和披露，识别影响被审计单位持续经营能力的重大疑虑事项或情况，恰当应对在审计报告日后注册会计师知悉的、且如果在审计报告日知悉可能导致注册会计师修改审计报告的事实。</w:t>
      </w:r>
    </w:p>
    <w:p w14:paraId="209503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0256F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1141号——财务报表审计中与舞弊相关的责任》第二十六条“按照《中国注册会计师审计准则第1211号——重大错报风险的识别和评估》的规定，注册会计师应当在财务报表层次和各类交易、账户余额、披露的认定层次识别和评估舞弊导致的重大错报风险”和第二十九条“按照《中国注册会计师审计准则第1231号——针对评估的重大错报风险采取的应对措施》的规定，注册会计师应当针对评估的舞弊导致的财务报表层次重大错报风险确定总体应对措施”。</w:t>
      </w:r>
    </w:p>
    <w:p w14:paraId="2A26F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国注册会计师审计准则第1142号——财务报表审计中对法律法规的考虑》第十三条“按照《中国注册会计师审计准则第1211号——重大错报风险的识别和评估》的规定，在了解被审计单位及其环境时，注册会计师应当从总体上了解下列事项：（一）适用于被审计单位及其所处行业或领域的法律法规框架；（二）被审计单位如何遵守这些法律法规框架”、第十五条“注册会计师应当实施下列审计程序，以有助于识别可能对财务报表产生重大影响的违反其他法律法规的行为：（一）向管理层和治理层（如适用）询问被审计单位是否遵守了这些法律法规；（二）检查被审计单位与许可证颁发机构或监管机构的往来函件”。</w:t>
      </w:r>
    </w:p>
    <w:p w14:paraId="116AA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ascii="仿宋_GB2312" w:hAnsi="仿宋" w:eastAsia="仿宋_GB2312" w:cs="仿宋"/>
          <w:bCs/>
          <w:sz w:val="32"/>
          <w:szCs w:val="32"/>
          <w:lang w:bidi="ar"/>
        </w:rPr>
        <w:t>《中国注册会计师审计准则第1311号——对存货、诉讼和索赔、分部信息等特定项目获取审计证据的具体考虑》第九条“注册会计师应当设计和实施审计程序，以识别涉及被审计单位的可能导致重大错报风险的诉讼和索赔事项。这些审计程序包括：（一）询问管理层和被审计单位内部其他人员，包括询问被审计单位内部法律顾问；（二）查阅治理层的会议纪要和被审计单位与外部法律顾问之间的往来信函；（三）复核法律费用账户记录”。</w:t>
      </w:r>
    </w:p>
    <w:p w14:paraId="6E52F0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(4)</w:t>
      </w:r>
      <w:r>
        <w:rPr>
          <w:rFonts w:hint="eastAsia" w:ascii="仿宋_GB2312" w:hAnsi="仿宋" w:eastAsia="仿宋_GB2312" w:cs="仿宋"/>
          <w:bCs/>
          <w:sz w:val="32"/>
          <w:szCs w:val="32"/>
          <w:lang w:bidi="ar"/>
        </w:rPr>
        <w:t>《中国注册会计师审计准则第1321号——会计估计和相关披露的审计》第九条“在按照《中国注册会计师审计准则第1211号——重大错报风险的识别和评估》的规定，了解被审计单位及其环境、适用的财务报告编制基础、被审计单位的内部控制体系时，注册会计师应当了解与被审计单位会计估计相关的下列方面：</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和第十六条“对于与会计估计相关的特别风险，如果拟信赖针对该风险实施的控制，注册会计师应当在本期测试这些控制运行的有效性。如果针对特别风险实施的程序仅为实质性程序，这些程序应当包括细节测试”。</w:t>
      </w:r>
    </w:p>
    <w:p w14:paraId="65558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(5)</w:t>
      </w:r>
      <w:r>
        <w:rPr>
          <w:rFonts w:hint="eastAsia" w:ascii="仿宋_GB2312" w:hAnsi="仿宋" w:eastAsia="仿宋_GB2312" w:cs="仿宋"/>
          <w:bCs/>
          <w:sz w:val="32"/>
          <w:szCs w:val="32"/>
          <w:lang w:bidi="ar"/>
        </w:rPr>
        <w:t>《中国注册会计师审计准则第1323号——关联方》第十二条“</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作为风险评估程序和相关工作的一部分，注册会计师应当实施本准则第十三条至第十八条规定的审计程序和相关工作，以获取与识别关联方关系及其交易相关的重大错报风险的信息”。</w:t>
      </w:r>
    </w:p>
    <w:p w14:paraId="7CA727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(6)</w:t>
      </w:r>
      <w:r>
        <w:rPr>
          <w:rFonts w:hint="eastAsia" w:ascii="仿宋_GB2312" w:hAnsi="仿宋" w:eastAsia="仿宋_GB2312" w:cs="仿宋"/>
          <w:bCs/>
          <w:sz w:val="32"/>
          <w:szCs w:val="32"/>
          <w:lang w:bidi="ar"/>
        </w:rPr>
        <w:t>《中国注册会计师审计准则第1324号——持续经营》第十一条“注册会计师应当评价管理层对被审计单位持续经营能力作出的评估”。</w:t>
      </w:r>
    </w:p>
    <w:p w14:paraId="2B06C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(7)</w:t>
      </w:r>
      <w:r>
        <w:rPr>
          <w:rFonts w:hint="eastAsia" w:ascii="仿宋_GB2312" w:hAnsi="仿宋" w:eastAsia="仿宋_GB2312" w:cs="仿宋"/>
          <w:bCs/>
          <w:sz w:val="32"/>
          <w:szCs w:val="32"/>
          <w:lang w:bidi="ar"/>
        </w:rPr>
        <w:t>《中国注册会计师审计准则第1332号——期后事项》第三条</w:t>
      </w:r>
      <w:r>
        <w:rPr>
          <w:rFonts w:ascii="仿宋_GB2312" w:hAnsi="仿宋" w:eastAsia="仿宋_GB2312" w:cs="仿宋"/>
          <w:bCs/>
          <w:sz w:val="32"/>
          <w:szCs w:val="32"/>
          <w:lang w:bidi="ar"/>
        </w:rPr>
        <w:t>“期后事项，是指财务报表日至审计报告日之间发生的事项，</w:t>
      </w:r>
      <w:r>
        <w:rPr>
          <w:rFonts w:hint="eastAsia" w:ascii="仿宋_GB2312" w:hAnsi="仿宋" w:eastAsia="仿宋_GB2312" w:cs="仿宋"/>
          <w:bCs/>
          <w:sz w:val="32"/>
          <w:szCs w:val="32"/>
          <w:lang w:bidi="ar"/>
        </w:rPr>
        <w:t>以及注册会计师在审计报告日后知悉的事实</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、第九条</w:t>
      </w:r>
      <w:r>
        <w:rPr>
          <w:rFonts w:ascii="仿宋_GB2312" w:hAnsi="仿宋" w:eastAsia="仿宋_GB2312" w:cs="仿宋"/>
          <w:bCs/>
          <w:sz w:val="32"/>
          <w:szCs w:val="32"/>
          <w:lang w:bidi="ar"/>
        </w:rPr>
        <w:t>“注册会计师应当设计和实施审计程序，获取充分、适当的审</w:t>
      </w:r>
      <w:r>
        <w:rPr>
          <w:rFonts w:hint="eastAsia" w:ascii="仿宋_GB2312" w:hAnsi="仿宋" w:eastAsia="仿宋_GB2312" w:cs="仿宋"/>
          <w:bCs/>
          <w:sz w:val="32"/>
          <w:szCs w:val="32"/>
          <w:lang w:bidi="ar"/>
        </w:rPr>
        <w:t>计证据，以确定所有在财务报表日至审计报告日之间发生的、需要在财务报表中调整或披露的事项均已得到识别。但是，注册会计师并不需要对之前已实施审计程序并已得出满意结论的事项执行追加的审计程序</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、第十三条</w:t>
      </w:r>
      <w:r>
        <w:rPr>
          <w:rFonts w:ascii="仿宋_GB2312" w:hAnsi="仿宋" w:eastAsia="仿宋_GB2312" w:cs="仿宋"/>
          <w:bCs/>
          <w:sz w:val="32"/>
          <w:szCs w:val="32"/>
          <w:lang w:bidi="ar"/>
        </w:rPr>
        <w:t>“在审计报告日后，注册会计师没有义务针对财务报表实施</w:t>
      </w:r>
      <w:r>
        <w:rPr>
          <w:rFonts w:hint="eastAsia" w:ascii="仿宋_GB2312" w:hAnsi="仿宋" w:eastAsia="仿宋_GB2312" w:cs="仿宋"/>
          <w:bCs/>
          <w:sz w:val="32"/>
          <w:szCs w:val="32"/>
          <w:lang w:bidi="ar"/>
        </w:rPr>
        <w:t>任何审计程序。在审计报告日后至财务报表报出日前，如果知悉了某事实，且若在审计报告日知悉可能导致修改审计报告，注册会计师应当：（一）与管理层和治理层（如适用）讨论该事项；（二）确定财务报表是否需要修改；（三）如果需要修改，询问管理层将如何在财务报表中处理该事项</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、第十四条</w:t>
      </w:r>
      <w:r>
        <w:rPr>
          <w:rFonts w:ascii="仿宋_GB2312" w:hAnsi="仿宋" w:eastAsia="仿宋_GB2312" w:cs="仿宋"/>
          <w:bCs/>
          <w:sz w:val="32"/>
          <w:szCs w:val="32"/>
          <w:lang w:bidi="ar"/>
        </w:rPr>
        <w:t>“如果管理层修改财务报表，注册会计师应当：</w:t>
      </w:r>
      <w:r>
        <w:rPr>
          <w:rFonts w:hint="eastAsia" w:ascii="仿宋_GB2312" w:hAnsi="仿宋" w:eastAsia="仿宋_GB2312" w:cs="仿宋"/>
          <w:bCs/>
          <w:sz w:val="32"/>
          <w:szCs w:val="32"/>
          <w:lang w:bidi="ar"/>
        </w:rPr>
        <w:t>（一）根据具体情况对有关修改实施必要的审计程序；</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74D06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(8)《企业会计准则第30号——财务报表列报》第三十九条“附注一般应当按照下列顺序至少披露：(一)企业的基本情况。……(二)财务报表的编制基础</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三)遵循企业会计准则的声明。……(四)重要会计政策和会计估计。……(五)会计政策和会计估计变更以及差错更正的说明。……(六)报表重要项目的说明。……(七)或有和承诺事项、资产负债表日后非调整事项、关联方关系及其交易等需要说明的事项。(八)有助于财务报表使用者评价企业管理资本的目标、政策及程序的信息”。</w:t>
      </w:r>
    </w:p>
    <w:p w14:paraId="6EBC4F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（六）往来款项审计程序执行</w:t>
      </w:r>
    </w:p>
    <w:p w14:paraId="41CC57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仿宋"/>
          <w:b/>
          <w:bCs/>
          <w:sz w:val="32"/>
          <w:szCs w:val="32"/>
          <w:lang w:bidi="ar"/>
        </w:rPr>
      </w:pPr>
      <w:r>
        <w:rPr>
          <w:rFonts w:hint="eastAsia" w:ascii="仿宋_GB2312" w:hAnsi="黑体" w:eastAsia="仿宋_GB2312" w:cs="仿宋"/>
          <w:b/>
          <w:bCs/>
          <w:sz w:val="32"/>
          <w:szCs w:val="32"/>
          <w:lang w:bidi="ar"/>
        </w:rPr>
        <w:t>1.主要问题</w:t>
      </w:r>
    </w:p>
    <w:p w14:paraId="458A9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未对应收账款实施函证程序、未说明不函证</w:t>
      </w:r>
      <w:r>
        <w:rPr>
          <w:rFonts w:ascii="仿宋_GB2312" w:hAnsi="仿宋" w:eastAsia="仿宋_GB2312" w:cs="仿宋"/>
          <w:bCs/>
          <w:sz w:val="32"/>
          <w:szCs w:val="32"/>
          <w:lang w:bidi="ar"/>
        </w:rPr>
        <w:t>的</w:t>
      </w:r>
      <w:r>
        <w:rPr>
          <w:rFonts w:hint="eastAsia" w:ascii="仿宋_GB2312" w:hAnsi="仿宋" w:eastAsia="仿宋_GB2312" w:cs="仿宋"/>
          <w:bCs/>
          <w:sz w:val="32"/>
          <w:szCs w:val="32"/>
          <w:lang w:bidi="ar"/>
        </w:rPr>
        <w:t>理由，未执行替代审计程序或执行不到位。</w:t>
      </w:r>
    </w:p>
    <w:p w14:paraId="488C8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应收账款以外的其他往来款项仅见程序表、审定表、明细表、检查情况表，未见实际执行审计程序的相关证据或执行不到位。</w:t>
      </w:r>
    </w:p>
    <w:p w14:paraId="3C1094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仿宋"/>
          <w:b/>
          <w:bCs/>
          <w:sz w:val="32"/>
          <w:szCs w:val="32"/>
          <w:lang w:bidi="ar"/>
        </w:rPr>
      </w:pPr>
      <w:r>
        <w:rPr>
          <w:rFonts w:hint="eastAsia" w:ascii="仿宋_GB2312" w:hAnsi="黑体" w:eastAsia="仿宋_GB2312" w:cs="仿宋"/>
          <w:b/>
          <w:bCs/>
          <w:sz w:val="32"/>
          <w:szCs w:val="32"/>
          <w:lang w:bidi="ar"/>
        </w:rPr>
        <w:t>2.指导意见</w:t>
      </w:r>
    </w:p>
    <w:p w14:paraId="36DBE5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应当对应收账款实施函证程序，当有充分证据表明函证很可能无效时，应当实施替代审计程序，以获取相关、可靠的审计证据，</w:t>
      </w:r>
      <w:r>
        <w:rPr>
          <w:rFonts w:ascii="仿宋_GB2312" w:hAnsi="仿宋" w:eastAsia="仿宋_GB2312" w:cs="仿宋"/>
          <w:bCs/>
          <w:sz w:val="32"/>
          <w:szCs w:val="32"/>
          <w:lang w:bidi="ar"/>
        </w:rPr>
        <w:t>并说明不函证的理由</w:t>
      </w:r>
      <w:r>
        <w:rPr>
          <w:rFonts w:hint="eastAsia" w:ascii="仿宋_GB2312" w:hAnsi="仿宋" w:eastAsia="仿宋_GB2312" w:cs="仿宋"/>
          <w:bCs/>
          <w:sz w:val="32"/>
          <w:szCs w:val="32"/>
          <w:lang w:bidi="ar"/>
        </w:rPr>
        <w:t>。</w:t>
      </w:r>
    </w:p>
    <w:p w14:paraId="06DA11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对应收账款以外的其他往来款项应当设计和实施恰当的审计程序，如可执行函证程序或替代审计程序等，以获取相关、可靠的审计证据。</w:t>
      </w:r>
    </w:p>
    <w:p w14:paraId="71A9F5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仿宋"/>
          <w:b/>
          <w:bCs/>
          <w:sz w:val="32"/>
          <w:szCs w:val="32"/>
          <w:lang w:bidi="ar"/>
        </w:rPr>
      </w:pPr>
      <w:r>
        <w:rPr>
          <w:rFonts w:hint="eastAsia" w:ascii="仿宋_GB2312" w:hAnsi="黑体" w:eastAsia="仿宋_GB2312" w:cs="仿宋"/>
          <w:b/>
          <w:bCs/>
          <w:sz w:val="32"/>
          <w:szCs w:val="32"/>
          <w:lang w:bidi="ar"/>
        </w:rPr>
        <w:t>3.参考依据</w:t>
      </w:r>
    </w:p>
    <w:p w14:paraId="75DF7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1312号——函证》第十三条“注册会计师应当对应收账款实施函证程序，除非有充分证据表明应收账款对财务报表不重要，或函证很可能无效。如果认为函证很可能无效，注册会计师应当实施替代审计程序，获取相关、可靠的审计证据。如果不对应收账款函证，注册会计师应当在审计工作底稿中说明理由”。</w:t>
      </w:r>
    </w:p>
    <w:p w14:paraId="2A207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《中国注册会计师审计准则第1301号——审计证据》第十条“注册会计师应当根据具体情况设计和实施恰当的审计程序，以获取充分、适当的审计证据”。</w:t>
      </w:r>
    </w:p>
    <w:p w14:paraId="7F0559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（七）固定资产审计程序执行</w:t>
      </w:r>
    </w:p>
    <w:p w14:paraId="5704F0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0B4E1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被审计单位采用信息系统管理、核算固定资产，累计折旧计提由信息系统自动生成，未执行累计折旧重新测算程序。</w:t>
      </w:r>
    </w:p>
    <w:p w14:paraId="2D0F24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4D07D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财务信息系统仅为被审计单位会计核算的实现手段。对高度依赖信息系统进行数据输入和处理、自动计算的财务数据执行审计程序时，应当对相关信息系统的设计和运行实施审计程序，对控制运行的有效性进行测试；被审计单位计提固定资产折旧涉及会计估计，注册会计师应当对被审计期间计提折旧实施重新测算程序。</w:t>
      </w:r>
    </w:p>
    <w:p w14:paraId="41CB58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0DB555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中国注册会计师审计准则第1321号——会计估计和相关披露的审计》第九条“在按照《中国注册会计师审计准则第1211号——重大错报风险的识别和评估》的规定，了解被审计单位及其环境、适用的财务报告编制基础、被审计单位的内部控制体系时，注册会计师应当了解与被审计单位会计估计相关的下列方面：</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八）被审计单位与会计估计相关的信息系统，包括：1．对于相关交易类别、账户余额和披露涉及的会计估计和相关披露，有关信息是如何在被审计单位的信息系统中传递的。2．对于相关交易类别、账户余额和披露涉及的会计估计和相关披露，管理层作出会计估计的过程</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”、第十条“注册会计师应当复核以前期间会计估计的结果，或者复核管理层对以前期间会计估计作出的后续重新估计，以帮助识别和评估本期的重大错报风险</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在确定复核的性质和范围时，注册会计师应当考虑会计估计的特征”、第十五条“按照《中国注册会计师审计准则第1231号——针对评估的重大错报风险采取的应对措施》的规定，如果存在下列情形之一，注册会计师应当设计和实施控制测试，针对控制运行的有效性，获取充分、适当的审计证据：（一）在评估认定层次重大错报风险时，预期控制的运行是有效的；（二）仅实施实质性程序并不能够提供认定层次充分、适当的审计证据。在设计和实施与会计估计相关的控制测试时，注册会计师应当考虑形成重大错报风险评估结果的依据。对控制有效性的信赖程度越高，注册会计师应当获取越有说服力的审计证据”。</w:t>
      </w:r>
    </w:p>
    <w:p w14:paraId="27C4FA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黑体" w:eastAsia="楷体_GB2312" w:cs="仿宋"/>
          <w:b/>
          <w:bCs/>
          <w:sz w:val="32"/>
          <w:szCs w:val="32"/>
          <w:lang w:bidi="ar"/>
        </w:rPr>
      </w:pPr>
      <w:r>
        <w:rPr>
          <w:rFonts w:hint="eastAsia" w:ascii="楷体_GB2312" w:hAnsi="黑体" w:eastAsia="楷体_GB2312" w:cs="仿宋"/>
          <w:b/>
          <w:bCs/>
          <w:sz w:val="32"/>
          <w:szCs w:val="32"/>
          <w:lang w:bidi="ar"/>
        </w:rPr>
        <w:t>（八）营业收入、营业成本及期间费用审计程序执行</w:t>
      </w:r>
    </w:p>
    <w:p w14:paraId="4AC355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13B10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未执行</w:t>
      </w:r>
      <w:r>
        <w:rPr>
          <w:rFonts w:ascii="仿宋_GB2312" w:hAnsi="仿宋" w:eastAsia="仿宋_GB2312" w:cs="仿宋"/>
          <w:bCs/>
          <w:sz w:val="32"/>
          <w:szCs w:val="32"/>
          <w:lang w:bidi="ar"/>
        </w:rPr>
        <w:t>实质性</w:t>
      </w:r>
      <w:r>
        <w:rPr>
          <w:rFonts w:hint="eastAsia" w:ascii="仿宋_GB2312" w:hAnsi="仿宋" w:eastAsia="仿宋_GB2312" w:cs="仿宋"/>
          <w:bCs/>
          <w:sz w:val="32"/>
          <w:szCs w:val="32"/>
          <w:lang w:bidi="ar"/>
        </w:rPr>
        <w:t>分析程序或执行流于形式，未执行截止测试程序或仅执行了资产负债表日前测试程序、未执行资产负债表日后的测试。</w:t>
      </w:r>
    </w:p>
    <w:p w14:paraId="7EB6D9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548317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应当对营业收入、营业成本及期间费用执行实质性分析程序，以确定业务活动水平是否异常，识别出与预期值差异重大的波动，并调查这些异常，以获取相关、可靠的审计证据。</w:t>
      </w:r>
    </w:p>
    <w:p w14:paraId="3FA86D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应当对资产负债表日前后的财务数据执行截止测试程序，以确定是否存在跨期现象。</w:t>
      </w:r>
    </w:p>
    <w:p w14:paraId="2258BE7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471B54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中国注册会计师审计准则第1131号——审计工作底稿》第十条“注册会计师编制的审计工作底稿，应当使得未曾接触该项审计工作的有经验的专业人士清楚了解：（一）按照审计准则和相关法律法规的规定实施的审计程序的性质、时间安排和范围；（二）实施审计程序的结果和获取的审计证据；（三）审计中遇到的重大事项和得出的结论，以及在得出结论时作出的重大职业判断”、第十一条“在记录已实施审计程序的性质、时间安排和范围时，注册会计师应当记录：（一）测试的具体项目或事项的识别特征；</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w:t>
      </w:r>
    </w:p>
    <w:p w14:paraId="666D04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《中国注册会计师审计准则第</w:t>
      </w:r>
      <w:r>
        <w:rPr>
          <w:rFonts w:ascii="仿宋_GB2312" w:hAnsi="仿宋" w:eastAsia="仿宋_GB2312" w:cs="仿宋"/>
          <w:bCs/>
          <w:sz w:val="32"/>
          <w:szCs w:val="32"/>
          <w:lang w:bidi="ar"/>
        </w:rPr>
        <w:t>1231号——针对评估的重大错报风险采取的应对措施》第二条“实质性程序，是指用于发现认定层次重大错报的审计程序。实质性程序包括下列两类程序：（一）对各类交易、账户余额和披露的细节测试；（二）实质性分析程序”、第二十六条“注册会计师应当确定是否已获取充分、适当的审计证据。在形成审计意见时，注册会计师应当考虑所有相关的审计证据，无论该证据与财务报表认定相互印证还是相互矛盾”、第二十七条“如果对各类交易、账户余额和披露的相关认定没有获取充分、适当的审计证据，注册会计师应当尽可能获取进一步</w:t>
      </w:r>
      <w:r>
        <w:rPr>
          <w:rFonts w:hint="eastAsia" w:ascii="仿宋_GB2312" w:hAnsi="仿宋" w:eastAsia="仿宋_GB2312" w:cs="仿宋"/>
          <w:bCs/>
          <w:sz w:val="32"/>
          <w:szCs w:val="32"/>
          <w:lang w:bidi="ar"/>
        </w:rPr>
        <w:t>的审计证据。如果仍然不能获取充分、适当的审计证据，注册会计师应当对财务报表发表保留意见或无法表示意见”。</w:t>
      </w:r>
    </w:p>
    <w:p w14:paraId="0FE40A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(3)</w:t>
      </w:r>
      <w:r>
        <w:rPr>
          <w:rFonts w:hint="eastAsia"/>
        </w:rPr>
        <w:t xml:space="preserve"> </w:t>
      </w:r>
      <w:r>
        <w:rPr>
          <w:rFonts w:hint="eastAsia" w:ascii="仿宋_GB2312" w:hAnsi="仿宋" w:eastAsia="仿宋_GB2312" w:cs="仿宋"/>
          <w:bCs/>
          <w:sz w:val="32"/>
          <w:szCs w:val="32"/>
          <w:lang w:bidi="ar"/>
        </w:rPr>
        <w:t>《中国注册会计师审计准则第</w:t>
      </w:r>
      <w:r>
        <w:rPr>
          <w:rFonts w:ascii="仿宋_GB2312" w:hAnsi="仿宋" w:eastAsia="仿宋_GB2312" w:cs="仿宋"/>
          <w:bCs/>
          <w:sz w:val="32"/>
          <w:szCs w:val="32"/>
          <w:lang w:bidi="ar"/>
        </w:rPr>
        <w:t>1313号——分析程序》第五条“在设计和实施实质性分析程序时，无论单独使用或与细节测试结合使用，注册会计师都应当：……（二）考虑可获得信息的来源、可比性、性质和相关性以及与信息编制相关的控制，评价在对已记录的金额或比率作出预期时使用数据的可靠性；（三）对已记录的金额或比率作出预期，并评价预期值是否足够精确以识别重大错报（包括单项重大的错报和单项虽不重大但连同其他错报可能导致财务报表产生重大错报的错报）；（四）确定已记录金额与预期值之间可接受的，且无需按本准则第七条的要求作进一步调查</w:t>
      </w:r>
      <w:r>
        <w:rPr>
          <w:rFonts w:hint="eastAsia" w:ascii="仿宋_GB2312" w:hAnsi="仿宋" w:eastAsia="仿宋_GB2312" w:cs="仿宋"/>
          <w:bCs/>
          <w:sz w:val="32"/>
          <w:szCs w:val="32"/>
          <w:lang w:bidi="ar"/>
        </w:rPr>
        <w:t>的差异额”、第七条“如果按照本准则的规定实施分析程序，识别出与其他相关信息不一致的波动或关系，或与预期值差异重大的波动或关系，注册会计师应当采取下列措施调查这些差异：（一）询问管理层，并针对管理层的答复获取适当的审计证据；（二）根据具体情况在必要时实施其他审计程序”。</w:t>
      </w:r>
    </w:p>
    <w:p w14:paraId="6451E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(4)</w:t>
      </w:r>
      <w:r>
        <w:rPr>
          <w:rFonts w:hint="eastAsia" w:ascii="仿宋_GB2312" w:hAnsi="仿宋" w:eastAsia="仿宋_GB2312" w:cs="仿宋"/>
          <w:bCs/>
          <w:sz w:val="32"/>
          <w:szCs w:val="32"/>
          <w:lang w:bidi="ar"/>
        </w:rPr>
        <w:t>《中国注册会计师审计准则第1301号——审计证据》第十条“注册会计师应当根据具体情况设计和实施恰当的审计程序，以获取充分、适当的审计证据”。</w:t>
      </w:r>
    </w:p>
    <w:p w14:paraId="34768A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仿宋"/>
          <w:b/>
          <w:sz w:val="32"/>
          <w:szCs w:val="32"/>
          <w:lang w:bidi="ar"/>
        </w:rPr>
      </w:pPr>
      <w:r>
        <w:rPr>
          <w:rFonts w:hint="eastAsia" w:ascii="黑体" w:hAnsi="黑体" w:eastAsia="黑体" w:cs="仿宋"/>
          <w:b/>
          <w:sz w:val="32"/>
          <w:szCs w:val="32"/>
          <w:lang w:bidi="ar"/>
        </w:rPr>
        <w:t>三、</w:t>
      </w:r>
      <w:bookmarkStart w:id="4" w:name="OLE_LINK8"/>
      <w:r>
        <w:rPr>
          <w:rFonts w:hint="eastAsia" w:ascii="黑体" w:hAnsi="黑体" w:eastAsia="黑体" w:cs="仿宋"/>
          <w:b/>
          <w:sz w:val="32"/>
          <w:szCs w:val="32"/>
          <w:lang w:bidi="ar"/>
        </w:rPr>
        <w:t>合理保证鉴证</w:t>
      </w:r>
      <w:bookmarkStart w:id="5" w:name="OLE_LINK4"/>
      <w:r>
        <w:rPr>
          <w:rFonts w:hint="eastAsia" w:ascii="黑体" w:hAnsi="黑体" w:eastAsia="黑体" w:cs="仿宋"/>
          <w:b/>
          <w:sz w:val="32"/>
          <w:szCs w:val="32"/>
          <w:lang w:bidi="ar"/>
        </w:rPr>
        <w:t>业务</w:t>
      </w:r>
      <w:bookmarkEnd w:id="4"/>
      <w:r>
        <w:rPr>
          <w:rFonts w:hint="eastAsia" w:ascii="黑体" w:hAnsi="黑体" w:eastAsia="黑体" w:cs="仿宋"/>
          <w:b/>
          <w:sz w:val="32"/>
          <w:szCs w:val="32"/>
          <w:lang w:bidi="ar"/>
        </w:rPr>
        <w:t>报告披露及程序执行方面</w:t>
      </w:r>
      <w:bookmarkEnd w:id="5"/>
    </w:p>
    <w:p w14:paraId="42A685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1.主要问题</w:t>
      </w:r>
    </w:p>
    <w:p w14:paraId="094DD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未在特别鉴证业务报告（</w:t>
      </w:r>
      <w:r>
        <w:rPr>
          <w:rFonts w:ascii="仿宋_GB2312" w:hAnsi="仿宋" w:eastAsia="仿宋_GB2312" w:cs="仿宋"/>
          <w:bCs/>
          <w:sz w:val="32"/>
          <w:szCs w:val="32"/>
          <w:lang w:bidi="ar"/>
        </w:rPr>
        <w:t>财务报表审计</w:t>
      </w:r>
      <w:r>
        <w:rPr>
          <w:rFonts w:hint="eastAsia" w:ascii="仿宋_GB2312" w:hAnsi="仿宋" w:eastAsia="仿宋_GB2312" w:cs="仿宋"/>
          <w:bCs/>
          <w:sz w:val="32"/>
          <w:szCs w:val="32"/>
          <w:lang w:bidi="ar"/>
        </w:rPr>
        <w:t>之外</w:t>
      </w:r>
      <w:r>
        <w:rPr>
          <w:rFonts w:ascii="仿宋_GB2312" w:hAnsi="仿宋" w:eastAsia="仿宋_GB2312" w:cs="仿宋"/>
          <w:bCs/>
          <w:sz w:val="32"/>
          <w:szCs w:val="32"/>
          <w:lang w:bidi="ar"/>
        </w:rPr>
        <w:t>的特殊目的</w:t>
      </w:r>
      <w:r>
        <w:rPr>
          <w:rFonts w:hint="eastAsia" w:ascii="仿宋_GB2312" w:hAnsi="仿宋" w:eastAsia="仿宋_GB2312" w:cs="仿宋"/>
          <w:bCs/>
          <w:sz w:val="32"/>
          <w:szCs w:val="32"/>
          <w:lang w:bidi="ar"/>
        </w:rPr>
        <w:t>鉴证）中注明报告的特定使用者或特定目的，未对报告的用途加以限定。</w:t>
      </w:r>
    </w:p>
    <w:p w14:paraId="0AF2D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未在</w:t>
      </w:r>
      <w:r>
        <w:rPr>
          <w:rFonts w:ascii="仿宋_GB2312" w:hAnsi="仿宋" w:eastAsia="仿宋_GB2312" w:cs="仿宋"/>
          <w:bCs/>
          <w:sz w:val="32"/>
          <w:szCs w:val="32"/>
          <w:lang w:bidi="ar"/>
        </w:rPr>
        <w:t>接受</w:t>
      </w:r>
      <w:r>
        <w:rPr>
          <w:rFonts w:hint="eastAsia" w:ascii="仿宋_GB2312" w:hAnsi="仿宋" w:eastAsia="仿宋_GB2312" w:cs="仿宋"/>
          <w:bCs/>
          <w:sz w:val="32"/>
          <w:szCs w:val="32"/>
          <w:lang w:bidi="ar"/>
        </w:rPr>
        <w:t>合理保证鉴证业务</w:t>
      </w:r>
      <w:r>
        <w:rPr>
          <w:rFonts w:ascii="仿宋_GB2312" w:hAnsi="仿宋" w:eastAsia="仿宋_GB2312" w:cs="仿宋"/>
          <w:bCs/>
          <w:sz w:val="32"/>
          <w:szCs w:val="32"/>
          <w:lang w:bidi="ar"/>
        </w:rPr>
        <w:t>委托前</w:t>
      </w:r>
      <w:r>
        <w:rPr>
          <w:rFonts w:hint="eastAsia" w:ascii="仿宋_GB2312" w:hAnsi="仿宋" w:eastAsia="仿宋_GB2312" w:cs="仿宋"/>
          <w:bCs/>
          <w:sz w:val="32"/>
          <w:szCs w:val="32"/>
          <w:lang w:bidi="ar"/>
        </w:rPr>
        <w:t>初步了解业务环境，未对</w:t>
      </w:r>
      <w:r>
        <w:rPr>
          <w:rFonts w:ascii="仿宋_GB2312" w:hAnsi="仿宋" w:eastAsia="仿宋_GB2312" w:cs="仿宋"/>
          <w:bCs/>
          <w:sz w:val="32"/>
          <w:szCs w:val="32"/>
          <w:lang w:bidi="ar"/>
        </w:rPr>
        <w:t>独立性和专业胜任能力进行评价，</w:t>
      </w:r>
      <w:r>
        <w:rPr>
          <w:rFonts w:hint="eastAsia" w:ascii="仿宋_GB2312" w:hAnsi="仿宋" w:eastAsia="仿宋_GB2312" w:cs="仿宋"/>
          <w:bCs/>
          <w:sz w:val="32"/>
          <w:szCs w:val="32"/>
          <w:lang w:bidi="ar"/>
        </w:rPr>
        <w:t>未评估</w:t>
      </w:r>
      <w:r>
        <w:rPr>
          <w:rFonts w:ascii="仿宋_GB2312" w:hAnsi="仿宋" w:eastAsia="仿宋_GB2312" w:cs="仿宋"/>
          <w:bCs/>
          <w:sz w:val="32"/>
          <w:szCs w:val="32"/>
          <w:lang w:bidi="ar"/>
        </w:rPr>
        <w:t>鉴证业务</w:t>
      </w:r>
      <w:r>
        <w:rPr>
          <w:rFonts w:hint="eastAsia" w:ascii="仿宋_GB2312" w:hAnsi="仿宋" w:eastAsia="仿宋_GB2312" w:cs="仿宋"/>
          <w:bCs/>
          <w:sz w:val="32"/>
          <w:szCs w:val="32"/>
          <w:lang w:bidi="ar"/>
        </w:rPr>
        <w:t>风险，未考虑重要性。</w:t>
      </w:r>
    </w:p>
    <w:p w14:paraId="209840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2.指导意见</w:t>
      </w:r>
    </w:p>
    <w:p w14:paraId="0BE92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(1)</w:t>
      </w:r>
      <w:r>
        <w:rPr>
          <w:rFonts w:hint="eastAsia" w:ascii="仿宋_GB2312" w:hAnsi="仿宋" w:eastAsia="仿宋_GB2312" w:cs="仿宋"/>
          <w:bCs/>
          <w:sz w:val="32"/>
          <w:szCs w:val="32"/>
          <w:lang w:bidi="ar"/>
        </w:rPr>
        <w:t>应当在特别</w:t>
      </w:r>
      <w:r>
        <w:rPr>
          <w:rFonts w:ascii="仿宋_GB2312" w:hAnsi="仿宋" w:eastAsia="仿宋_GB2312" w:cs="仿宋"/>
          <w:bCs/>
          <w:sz w:val="32"/>
          <w:szCs w:val="32"/>
          <w:lang w:bidi="ar"/>
        </w:rPr>
        <w:t>鉴证</w:t>
      </w:r>
      <w:r>
        <w:rPr>
          <w:rFonts w:hint="eastAsia" w:ascii="仿宋_GB2312" w:hAnsi="仿宋" w:eastAsia="仿宋_GB2312" w:cs="仿宋"/>
          <w:bCs/>
          <w:sz w:val="32"/>
          <w:szCs w:val="32"/>
          <w:lang w:bidi="ar"/>
        </w:rPr>
        <w:t xml:space="preserve">业务报告中注明报告的特定使用者或特定目的，对报告的用途加以限定。 </w:t>
      </w:r>
    </w:p>
    <w:p w14:paraId="0B3810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ascii="仿宋_GB2312" w:hAnsi="仿宋" w:eastAsia="仿宋_GB2312" w:cs="仿宋"/>
          <w:bCs/>
          <w:sz w:val="32"/>
          <w:szCs w:val="32"/>
          <w:lang w:bidi="ar"/>
        </w:rPr>
        <w:t>(2)</w:t>
      </w:r>
      <w:r>
        <w:rPr>
          <w:rFonts w:hint="eastAsia" w:ascii="仿宋_GB2312" w:hAnsi="仿宋" w:eastAsia="仿宋_GB2312" w:cs="仿宋"/>
          <w:bCs/>
          <w:sz w:val="32"/>
          <w:szCs w:val="32"/>
          <w:lang w:bidi="ar"/>
        </w:rPr>
        <w:t>应当在接受合理保证鉴证业务委托前，初步了解业务环境，评价</w:t>
      </w:r>
      <w:r>
        <w:rPr>
          <w:rFonts w:ascii="仿宋_GB2312" w:hAnsi="仿宋" w:eastAsia="仿宋_GB2312" w:cs="仿宋"/>
          <w:bCs/>
          <w:sz w:val="32"/>
          <w:szCs w:val="32"/>
          <w:lang w:bidi="ar"/>
        </w:rPr>
        <w:t>独立性和专业胜任能力</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评估鉴证业务风险</w:t>
      </w:r>
      <w:r>
        <w:rPr>
          <w:rFonts w:hint="eastAsia" w:ascii="仿宋_GB2312" w:hAnsi="仿宋" w:eastAsia="仿宋_GB2312" w:cs="仿宋"/>
          <w:bCs/>
          <w:sz w:val="32"/>
          <w:szCs w:val="32"/>
          <w:lang w:bidi="ar"/>
        </w:rPr>
        <w:t>，考虑重要性，</w:t>
      </w:r>
      <w:r>
        <w:rPr>
          <w:rFonts w:ascii="仿宋_GB2312" w:hAnsi="仿宋" w:eastAsia="仿宋_GB2312" w:cs="仿宋"/>
          <w:bCs/>
          <w:sz w:val="32"/>
          <w:szCs w:val="32"/>
          <w:lang w:bidi="ar"/>
        </w:rPr>
        <w:t>制定</w:t>
      </w:r>
      <w:r>
        <w:rPr>
          <w:rFonts w:hint="eastAsia" w:ascii="仿宋_GB2312" w:hAnsi="仿宋" w:eastAsia="仿宋_GB2312" w:cs="仿宋"/>
          <w:bCs/>
          <w:sz w:val="32"/>
          <w:szCs w:val="32"/>
          <w:lang w:bidi="ar"/>
        </w:rPr>
        <w:t>总体</w:t>
      </w:r>
      <w:r>
        <w:rPr>
          <w:rFonts w:ascii="仿宋_GB2312" w:hAnsi="仿宋" w:eastAsia="仿宋_GB2312" w:cs="仿宋"/>
          <w:bCs/>
          <w:sz w:val="32"/>
          <w:szCs w:val="32"/>
          <w:lang w:bidi="ar"/>
        </w:rPr>
        <w:t>应对措施，确定进一步</w:t>
      </w:r>
      <w:r>
        <w:rPr>
          <w:rFonts w:hint="eastAsia" w:ascii="仿宋_GB2312" w:hAnsi="仿宋" w:eastAsia="仿宋_GB2312" w:cs="仿宋"/>
          <w:bCs/>
          <w:sz w:val="32"/>
          <w:szCs w:val="32"/>
          <w:lang w:bidi="ar"/>
        </w:rPr>
        <w:t>鉴证</w:t>
      </w:r>
      <w:r>
        <w:rPr>
          <w:rFonts w:ascii="仿宋_GB2312" w:hAnsi="仿宋" w:eastAsia="仿宋_GB2312" w:cs="仿宋"/>
          <w:bCs/>
          <w:sz w:val="32"/>
          <w:szCs w:val="32"/>
          <w:lang w:bidi="ar"/>
        </w:rPr>
        <w:t>程序</w:t>
      </w:r>
      <w:r>
        <w:rPr>
          <w:rFonts w:hint="eastAsia" w:ascii="仿宋_GB2312" w:hAnsi="仿宋" w:eastAsia="仿宋_GB2312" w:cs="仿宋"/>
          <w:bCs/>
          <w:sz w:val="32"/>
          <w:szCs w:val="32"/>
          <w:lang w:bidi="ar"/>
        </w:rPr>
        <w:t>（包括实质性</w:t>
      </w:r>
      <w:r>
        <w:rPr>
          <w:rFonts w:ascii="仿宋_GB2312" w:hAnsi="仿宋" w:eastAsia="仿宋_GB2312" w:cs="仿宋"/>
          <w:bCs/>
          <w:sz w:val="32"/>
          <w:szCs w:val="32"/>
          <w:lang w:bidi="ar"/>
        </w:rPr>
        <w:t>程序，必要时进行控制测试</w:t>
      </w:r>
      <w:r>
        <w:rPr>
          <w:rFonts w:hint="eastAsia" w:ascii="仿宋_GB2312" w:hAnsi="仿宋" w:eastAsia="仿宋_GB2312" w:cs="仿宋"/>
          <w:bCs/>
          <w:sz w:val="32"/>
          <w:szCs w:val="32"/>
          <w:lang w:bidi="ar"/>
        </w:rPr>
        <w:t>）</w:t>
      </w:r>
      <w:r>
        <w:rPr>
          <w:rFonts w:ascii="仿宋_GB2312" w:hAnsi="仿宋" w:eastAsia="仿宋_GB2312" w:cs="仿宋"/>
          <w:bCs/>
          <w:sz w:val="32"/>
          <w:szCs w:val="32"/>
          <w:lang w:bidi="ar"/>
        </w:rPr>
        <w:t>的性质、时间和范围</w:t>
      </w:r>
      <w:r>
        <w:rPr>
          <w:rFonts w:hint="eastAsia" w:ascii="仿宋_GB2312" w:hAnsi="仿宋" w:eastAsia="仿宋_GB2312" w:cs="仿宋"/>
          <w:bCs/>
          <w:sz w:val="32"/>
          <w:szCs w:val="32"/>
          <w:lang w:bidi="ar"/>
        </w:rPr>
        <w:t>。</w:t>
      </w:r>
    </w:p>
    <w:p w14:paraId="00CF37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b/>
          <w:bCs/>
          <w:sz w:val="32"/>
          <w:szCs w:val="32"/>
          <w:lang w:bidi="ar"/>
        </w:rPr>
      </w:pPr>
      <w:r>
        <w:rPr>
          <w:rFonts w:hint="eastAsia" w:ascii="仿宋_GB2312" w:hAnsi="仿宋" w:eastAsia="仿宋_GB2312" w:cs="仿宋"/>
          <w:b/>
          <w:bCs/>
          <w:sz w:val="32"/>
          <w:szCs w:val="32"/>
          <w:lang w:bidi="ar"/>
        </w:rPr>
        <w:t>3.参考依据</w:t>
      </w:r>
    </w:p>
    <w:p w14:paraId="223D0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bCs/>
          <w:sz w:val="32"/>
          <w:szCs w:val="32"/>
          <w:lang w:bidi="ar"/>
        </w:rPr>
      </w:pPr>
      <w:r>
        <w:rPr>
          <w:rFonts w:hint="eastAsia" w:ascii="仿宋_GB2312" w:hAnsi="仿宋" w:eastAsia="仿宋_GB2312" w:cs="仿宋"/>
          <w:bCs/>
          <w:sz w:val="32"/>
          <w:szCs w:val="32"/>
          <w:lang w:bidi="ar"/>
        </w:rPr>
        <w:t>《中国注册会计师鉴证业务基本准则》第二条“鉴证业务包括历史财务信息审计业务、历史财务信息审阅业务和其他鉴证业务。注册会计师执行历史财务信息审计业务、历史财务信息审阅业务和其他鉴证业务时，应当遵守本准则以及依据本准则制定的审计准则、审阅准则和其他鉴证业务准则”、第八条“鉴证业务的保证程度分为合理保证和有限保证。合理保证的鉴证业务的目标是注册会计师将鉴证业务风险降至该业务环境下可接受的低水平，以此作为以积极方式提出结论的基础。如在历史财务信息审计中，要求注册会计师将审计风险降至可接受的低水平，对审计后的历史财务信息提供高水平保证（合理保证），在审计报告中对历史财务信息采用积极方式提出结论。这种业务属于合理保证的鉴证业务”、第九条“在接受委托前，注册会计师应当初步了解业务环境。业务环境包括业务约定事项、鉴证对象特征、使用的标准、预期使用者的需求、责任方及其环境的相关特征，以及可能对鉴证业务产生重大影响的事项、交易、条件和惯例等其他事项”、第十条“在初步了解业务环境后，只有认为符合独立性和专业胜任能力等相关职业道德规范的要求，并且拟承接的业务具备下列所有特征，注册会计师才能将其作为鉴证业务予以承接：</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”、第二十条“当鉴证业务服务于特定的使用者，或具有特定目的时，注册会计师应当考虑在鉴证报告中注明该报告的特定使用者或特定目的，对报告的用途加以限定”、第二十八条</w:t>
      </w:r>
      <w:r>
        <w:rPr>
          <w:rFonts w:ascii="仿宋_GB2312" w:hAnsi="仿宋" w:eastAsia="仿宋_GB2312" w:cs="仿宋"/>
          <w:bCs/>
          <w:sz w:val="32"/>
          <w:szCs w:val="32"/>
          <w:lang w:bidi="ar"/>
        </w:rPr>
        <w:t>“注册会计师应当以职业怀疑态度计划和执行鉴证</w:t>
      </w:r>
      <w:r>
        <w:rPr>
          <w:rFonts w:hint="eastAsia" w:ascii="仿宋_GB2312" w:hAnsi="仿宋" w:eastAsia="仿宋_GB2312" w:cs="仿宋"/>
          <w:bCs/>
          <w:sz w:val="32"/>
          <w:szCs w:val="32"/>
          <w:lang w:bidi="ar"/>
        </w:rPr>
        <w:t>业务，获取有关鉴证对象信息是否不存在重大错报的充分、适当的证据。</w:t>
      </w:r>
      <w:r>
        <w:rPr>
          <w:rFonts w:ascii="仿宋_GB2312" w:hAnsi="仿宋" w:eastAsia="仿宋_GB2312" w:cs="仿宋"/>
          <w:bCs/>
          <w:sz w:val="32"/>
          <w:szCs w:val="32"/>
          <w:lang w:bidi="ar"/>
        </w:rPr>
        <w:t xml:space="preserve"> </w:t>
      </w:r>
      <w:r>
        <w:rPr>
          <w:rFonts w:hint="eastAsia" w:ascii="仿宋_GB2312" w:hAnsi="仿宋" w:eastAsia="仿宋_GB2312" w:cs="仿宋"/>
          <w:bCs/>
          <w:sz w:val="32"/>
          <w:szCs w:val="32"/>
          <w:lang w:bidi="ar"/>
        </w:rPr>
        <w:t>注册会计师应当及时对制定的计划、实施的程序、获取的相关证据以及得出的结论作出记录</w:t>
      </w:r>
      <w:r>
        <w:rPr>
          <w:rFonts w:ascii="仿宋_GB2312" w:hAnsi="仿宋" w:eastAsia="仿宋_GB2312" w:cs="仿宋"/>
          <w:bCs/>
          <w:sz w:val="32"/>
          <w:szCs w:val="32"/>
          <w:lang w:bidi="ar"/>
        </w:rPr>
        <w:t>”</w:t>
      </w:r>
      <w:r>
        <w:rPr>
          <w:rFonts w:hint="eastAsia" w:ascii="仿宋_GB2312" w:hAnsi="仿宋" w:eastAsia="仿宋_GB2312" w:cs="仿宋"/>
          <w:bCs/>
          <w:sz w:val="32"/>
          <w:szCs w:val="32"/>
          <w:lang w:bidi="ar"/>
        </w:rPr>
        <w:t>、第二十九条“注册会计师在计划和执行鉴证业务，尤其在确定证据收集程序的性质、时间和范围时，应当考虑重要性、鉴证业务风险以及可获取证据的数量和质量”及第四十二条“</w:t>
      </w:r>
      <w:r>
        <w:rPr>
          <w:rFonts w:ascii="仿宋_GB2312" w:hAnsi="仿宋" w:eastAsia="仿宋_GB2312" w:cs="仿宋"/>
          <w:bCs/>
          <w:sz w:val="32"/>
          <w:szCs w:val="32"/>
          <w:lang w:bidi="ar"/>
        </w:rPr>
        <w:t>在合理保证的鉴证业务中，为了能够以积极方式提</w:t>
      </w:r>
      <w:r>
        <w:rPr>
          <w:rFonts w:hint="eastAsia" w:ascii="仿宋_GB2312" w:hAnsi="仿宋" w:eastAsia="仿宋_GB2312" w:cs="仿宋"/>
          <w:bCs/>
          <w:sz w:val="32"/>
          <w:szCs w:val="32"/>
          <w:lang w:bidi="ar"/>
        </w:rPr>
        <w:t>出结论，注册会计师应当通过下列不断修正的、系统化的执业过程，获取充分、适当的证据：（一）了解鉴证对象及其他的业务环境事项，在适用的情况下包括了解内部控制；（二）在了解鉴证对象及其他的业务环境事项的基础上，评估鉴证对象信息可能存在的重大错报风险；（三）应对评估的风险，包括制定总体应对措施以及确定进一步程序的性质、时间和范围；（四）针对已识别的风险实施进一步程序，包括实施实质性程序，以及在必要时测试控制运行的有效性；</w:t>
      </w:r>
      <w:r>
        <w:rPr>
          <w:rFonts w:ascii="仿宋_GB2312" w:hAnsi="仿宋" w:eastAsia="仿宋_GB2312" w:cs="仿宋"/>
          <w:bCs/>
          <w:sz w:val="32"/>
          <w:szCs w:val="32"/>
          <w:lang w:bidi="ar"/>
        </w:rPr>
        <w:t xml:space="preserve"> </w:t>
      </w:r>
      <w:r>
        <w:rPr>
          <w:rFonts w:hint="eastAsia" w:ascii="仿宋_GB2312" w:hAnsi="仿宋" w:eastAsia="仿宋_GB2312" w:cs="仿宋"/>
          <w:bCs/>
          <w:sz w:val="32"/>
          <w:szCs w:val="32"/>
          <w:lang w:bidi="ar"/>
        </w:rPr>
        <w:t>（五）评价证据的充分性和适当性”。</w:t>
      </w:r>
      <w:bookmarkStart w:id="6" w:name="29089608-30569356-1_2"/>
      <w:bookmarkEnd w:id="6"/>
      <w:bookmarkStart w:id="7" w:name="29089608-30569356-1_3"/>
      <w:bookmarkEnd w:id="7"/>
      <w:bookmarkStart w:id="8" w:name="29089608-30569356-1_4"/>
      <w:bookmarkEnd w:id="8"/>
    </w:p>
    <w:p w14:paraId="76C4BCB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cs="仿宋"/>
          <w:bCs/>
          <w:sz w:val="32"/>
          <w:szCs w:val="32"/>
          <w:lang w:bidi="ar"/>
        </w:rPr>
      </w:pPr>
    </w:p>
    <w:p w14:paraId="360DA3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48"/>
        </w:rPr>
      </w:pPr>
    </w:p>
    <w:p w14:paraId="02A35965">
      <w:pPr>
        <w:keepNext w:val="0"/>
        <w:keepLines w:val="0"/>
        <w:pageBreakBefore w:val="0"/>
        <w:widowControl w:val="0"/>
        <w:kinsoku/>
        <w:wordWrap/>
        <w:overflowPunct/>
        <w:topLinePunct w:val="0"/>
        <w:autoSpaceDE/>
        <w:autoSpaceDN/>
        <w:bidi w:val="0"/>
        <w:adjustRightInd/>
        <w:snapToGrid/>
        <w:spacing w:line="600" w:lineRule="exact"/>
        <w:ind w:firstLine="4000" w:firstLineChars="1250"/>
        <w:textAlignment w:val="auto"/>
        <w:rPr>
          <w:rFonts w:hint="eastAsia" w:ascii="仿宋_GB2312" w:eastAsia="仿宋_GB2312"/>
          <w:sz w:val="32"/>
          <w:szCs w:val="48"/>
        </w:rPr>
      </w:pPr>
    </w:p>
    <w:p w14:paraId="1FDC6D6A">
      <w:pPr>
        <w:keepNext w:val="0"/>
        <w:keepLines w:val="0"/>
        <w:pageBreakBefore w:val="0"/>
        <w:widowControl w:val="0"/>
        <w:kinsoku/>
        <w:wordWrap/>
        <w:overflowPunct/>
        <w:topLinePunct w:val="0"/>
        <w:autoSpaceDE/>
        <w:autoSpaceDN/>
        <w:bidi w:val="0"/>
        <w:adjustRightInd/>
        <w:snapToGrid/>
        <w:spacing w:line="600" w:lineRule="exact"/>
        <w:ind w:firstLine="4000" w:firstLineChars="1250"/>
        <w:textAlignment w:val="auto"/>
        <w:rPr>
          <w:rFonts w:hint="eastAsia" w:ascii="仿宋_GB2312" w:eastAsia="仿宋_GB2312"/>
          <w:sz w:val="32"/>
          <w:szCs w:val="48"/>
        </w:rPr>
      </w:pPr>
      <w:r>
        <w:rPr>
          <w:rFonts w:hint="eastAsia" w:ascii="仿宋_GB2312" w:eastAsia="仿宋_GB2312"/>
          <w:sz w:val="32"/>
          <w:szCs w:val="48"/>
        </w:rPr>
        <w:t xml:space="preserve"> 山东省注册会计师协会   </w:t>
      </w:r>
    </w:p>
    <w:p w14:paraId="7FC94F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48"/>
        </w:rPr>
      </w:pPr>
      <w:r>
        <w:rPr>
          <w:rFonts w:hint="eastAsia" w:ascii="仿宋_GB2312" w:eastAsia="仿宋_GB2312"/>
          <w:sz w:val="32"/>
          <w:szCs w:val="48"/>
        </w:rPr>
        <w:t xml:space="preserve">                        202</w:t>
      </w:r>
      <w:r>
        <w:rPr>
          <w:rFonts w:hint="eastAsia" w:ascii="仿宋_GB2312" w:eastAsia="仿宋_GB2312"/>
          <w:sz w:val="32"/>
          <w:szCs w:val="48"/>
          <w:lang w:val="en-US" w:eastAsia="zh-CN"/>
        </w:rPr>
        <w:t>5</w:t>
      </w:r>
      <w:r>
        <w:rPr>
          <w:rFonts w:hint="eastAsia" w:ascii="仿宋_GB2312" w:eastAsia="仿宋_GB2312"/>
          <w:sz w:val="32"/>
          <w:szCs w:val="48"/>
        </w:rPr>
        <w:t>年</w:t>
      </w:r>
      <w:r>
        <w:rPr>
          <w:rFonts w:hint="eastAsia" w:ascii="仿宋_GB2312" w:eastAsia="仿宋_GB2312"/>
          <w:sz w:val="32"/>
          <w:szCs w:val="48"/>
          <w:lang w:val="en-US" w:eastAsia="zh-CN"/>
        </w:rPr>
        <w:t>2</w:t>
      </w:r>
      <w:r>
        <w:rPr>
          <w:rFonts w:hint="eastAsia" w:ascii="仿宋_GB2312" w:eastAsia="仿宋_GB2312"/>
          <w:sz w:val="32"/>
          <w:szCs w:val="48"/>
        </w:rPr>
        <w:t>月</w:t>
      </w:r>
      <w:r>
        <w:rPr>
          <w:rFonts w:hint="eastAsia" w:ascii="仿宋_GB2312" w:eastAsia="仿宋_GB2312"/>
          <w:sz w:val="32"/>
          <w:szCs w:val="48"/>
          <w:lang w:val="en-US" w:eastAsia="zh-CN"/>
        </w:rPr>
        <w:t>17</w:t>
      </w:r>
      <w:r>
        <w:rPr>
          <w:rFonts w:hint="eastAsia" w:ascii="仿宋_GB2312" w:eastAsia="仿宋_GB2312"/>
          <w:sz w:val="32"/>
          <w:szCs w:val="48"/>
        </w:rPr>
        <w:t>日</w:t>
      </w:r>
    </w:p>
    <w:p w14:paraId="4852CB62">
      <w:pPr>
        <w:spacing w:line="600" w:lineRule="exact"/>
        <w:ind w:firstLine="640" w:firstLineChars="200"/>
        <w:rPr>
          <w:rFonts w:hint="default" w:ascii="仿宋_GB2312" w:hAnsi="宋体" w:eastAsia="仿宋_GB2312"/>
          <w:bCs/>
          <w:sz w:val="32"/>
          <w:szCs w:val="32"/>
          <w:lang w:val="en-US" w:eastAsia="zh-CN"/>
        </w:rPr>
      </w:pPr>
    </w:p>
    <w:sectPr>
      <w:footerReference r:id="rId3" w:type="default"/>
      <w:pgSz w:w="11906" w:h="16838"/>
      <w:pgMar w:top="1701" w:right="1361" w:bottom="1701" w:left="1531" w:header="851" w:footer="6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5022DE-7CFD-4F08-A890-BA62D3898A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79E931-49A7-4BCF-B643-5AE4DB5CEFE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4844725-E3C5-4BDF-A708-6A6999DD57DF}"/>
  </w:font>
  <w:font w:name="文星简仿宋">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42A07FF5-9330-4E1B-BBC0-718A443CC7DA}"/>
  </w:font>
  <w:font w:name="方正大标宋简体">
    <w:panose1 w:val="02000000000000000000"/>
    <w:charset w:val="86"/>
    <w:family w:val="script"/>
    <w:pitch w:val="default"/>
    <w:sig w:usb0="00000001" w:usb1="080E0000" w:usb2="00000000" w:usb3="00000000" w:csb0="00040000" w:csb1="00000000"/>
    <w:embedRegular r:id="rId5" w:fontKey="{337D2DC6-8547-4070-9CF8-6B77185A3442}"/>
  </w:font>
  <w:font w:name="楷体_GB2312">
    <w:panose1 w:val="02010609030101010101"/>
    <w:charset w:val="86"/>
    <w:family w:val="modern"/>
    <w:pitch w:val="default"/>
    <w:sig w:usb0="00000001" w:usb1="080E0000" w:usb2="00000000" w:usb3="00000000" w:csb0="00040000" w:csb1="00000000"/>
    <w:embedRegular r:id="rId6" w:fontKey="{83FEEE92-F338-49F8-8339-4EDC6E9FB8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91AB">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7484BDD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wNDZiM2FiN2QyOWU1NDA2YjJmMDU4NmEwN2NkOTUifQ=="/>
  </w:docVars>
  <w:rsids>
    <w:rsidRoot w:val="00B837A3"/>
    <w:rsid w:val="00001589"/>
    <w:rsid w:val="00001C2A"/>
    <w:rsid w:val="00002E85"/>
    <w:rsid w:val="00002F2B"/>
    <w:rsid w:val="00003A85"/>
    <w:rsid w:val="00003D5F"/>
    <w:rsid w:val="000043BB"/>
    <w:rsid w:val="00004959"/>
    <w:rsid w:val="00004D81"/>
    <w:rsid w:val="0000538B"/>
    <w:rsid w:val="00005817"/>
    <w:rsid w:val="00005A36"/>
    <w:rsid w:val="000077EA"/>
    <w:rsid w:val="00007B3D"/>
    <w:rsid w:val="000105A6"/>
    <w:rsid w:val="00010AFC"/>
    <w:rsid w:val="0001115A"/>
    <w:rsid w:val="000119BD"/>
    <w:rsid w:val="00011A0A"/>
    <w:rsid w:val="00012A91"/>
    <w:rsid w:val="00014B3F"/>
    <w:rsid w:val="00016523"/>
    <w:rsid w:val="000165A5"/>
    <w:rsid w:val="00016D71"/>
    <w:rsid w:val="00017188"/>
    <w:rsid w:val="00020171"/>
    <w:rsid w:val="00020554"/>
    <w:rsid w:val="000209DA"/>
    <w:rsid w:val="00020B57"/>
    <w:rsid w:val="00020CCA"/>
    <w:rsid w:val="00021480"/>
    <w:rsid w:val="00023749"/>
    <w:rsid w:val="000241ED"/>
    <w:rsid w:val="00024CB9"/>
    <w:rsid w:val="000253D3"/>
    <w:rsid w:val="00025567"/>
    <w:rsid w:val="000257B1"/>
    <w:rsid w:val="00025A70"/>
    <w:rsid w:val="00025A85"/>
    <w:rsid w:val="000267F4"/>
    <w:rsid w:val="00026E61"/>
    <w:rsid w:val="00027670"/>
    <w:rsid w:val="000278AF"/>
    <w:rsid w:val="0003029A"/>
    <w:rsid w:val="000303F0"/>
    <w:rsid w:val="000324A4"/>
    <w:rsid w:val="00032F54"/>
    <w:rsid w:val="00033388"/>
    <w:rsid w:val="00033742"/>
    <w:rsid w:val="00033D00"/>
    <w:rsid w:val="00034415"/>
    <w:rsid w:val="00034FC2"/>
    <w:rsid w:val="000355C3"/>
    <w:rsid w:val="0003616F"/>
    <w:rsid w:val="000403B5"/>
    <w:rsid w:val="000408AC"/>
    <w:rsid w:val="000411B8"/>
    <w:rsid w:val="00042BAC"/>
    <w:rsid w:val="0004315D"/>
    <w:rsid w:val="000444E8"/>
    <w:rsid w:val="000462A1"/>
    <w:rsid w:val="00047991"/>
    <w:rsid w:val="00047F65"/>
    <w:rsid w:val="000513AF"/>
    <w:rsid w:val="000519C0"/>
    <w:rsid w:val="00052FDB"/>
    <w:rsid w:val="0005357D"/>
    <w:rsid w:val="00054EE1"/>
    <w:rsid w:val="000550C6"/>
    <w:rsid w:val="00055803"/>
    <w:rsid w:val="00056DD0"/>
    <w:rsid w:val="00056F8F"/>
    <w:rsid w:val="00060879"/>
    <w:rsid w:val="00060D42"/>
    <w:rsid w:val="00060E13"/>
    <w:rsid w:val="000610D7"/>
    <w:rsid w:val="00061EC1"/>
    <w:rsid w:val="00061F6C"/>
    <w:rsid w:val="000622FA"/>
    <w:rsid w:val="000624C4"/>
    <w:rsid w:val="00063591"/>
    <w:rsid w:val="00063884"/>
    <w:rsid w:val="00063A59"/>
    <w:rsid w:val="00064962"/>
    <w:rsid w:val="00065287"/>
    <w:rsid w:val="0006592B"/>
    <w:rsid w:val="00066273"/>
    <w:rsid w:val="00066760"/>
    <w:rsid w:val="00070476"/>
    <w:rsid w:val="00070FB7"/>
    <w:rsid w:val="00071758"/>
    <w:rsid w:val="0007220A"/>
    <w:rsid w:val="00073004"/>
    <w:rsid w:val="00073045"/>
    <w:rsid w:val="000730E1"/>
    <w:rsid w:val="000735E2"/>
    <w:rsid w:val="00073945"/>
    <w:rsid w:val="00074882"/>
    <w:rsid w:val="00074B70"/>
    <w:rsid w:val="00075B56"/>
    <w:rsid w:val="00075B9C"/>
    <w:rsid w:val="00075C1A"/>
    <w:rsid w:val="000761DD"/>
    <w:rsid w:val="00076F44"/>
    <w:rsid w:val="00080683"/>
    <w:rsid w:val="0008179B"/>
    <w:rsid w:val="00081A6A"/>
    <w:rsid w:val="00081DE1"/>
    <w:rsid w:val="00082EA5"/>
    <w:rsid w:val="000837BB"/>
    <w:rsid w:val="00083B9A"/>
    <w:rsid w:val="00083C03"/>
    <w:rsid w:val="00083DF7"/>
    <w:rsid w:val="00083FF9"/>
    <w:rsid w:val="000840CA"/>
    <w:rsid w:val="00084372"/>
    <w:rsid w:val="00084D30"/>
    <w:rsid w:val="00085AB8"/>
    <w:rsid w:val="00086592"/>
    <w:rsid w:val="00086E7C"/>
    <w:rsid w:val="00087AF4"/>
    <w:rsid w:val="00087C94"/>
    <w:rsid w:val="00090039"/>
    <w:rsid w:val="00090143"/>
    <w:rsid w:val="0009022E"/>
    <w:rsid w:val="00090649"/>
    <w:rsid w:val="00090910"/>
    <w:rsid w:val="00090EA7"/>
    <w:rsid w:val="000916F3"/>
    <w:rsid w:val="00091AD2"/>
    <w:rsid w:val="0009307D"/>
    <w:rsid w:val="00095767"/>
    <w:rsid w:val="000959F7"/>
    <w:rsid w:val="00095C82"/>
    <w:rsid w:val="00095FB6"/>
    <w:rsid w:val="00096563"/>
    <w:rsid w:val="000974B3"/>
    <w:rsid w:val="000977F1"/>
    <w:rsid w:val="00097D17"/>
    <w:rsid w:val="00097DE9"/>
    <w:rsid w:val="000A03EB"/>
    <w:rsid w:val="000A1A95"/>
    <w:rsid w:val="000A2175"/>
    <w:rsid w:val="000A225B"/>
    <w:rsid w:val="000A233F"/>
    <w:rsid w:val="000A244D"/>
    <w:rsid w:val="000A397A"/>
    <w:rsid w:val="000A3AC8"/>
    <w:rsid w:val="000A47FA"/>
    <w:rsid w:val="000A6708"/>
    <w:rsid w:val="000A7525"/>
    <w:rsid w:val="000B0C47"/>
    <w:rsid w:val="000B0D16"/>
    <w:rsid w:val="000B134D"/>
    <w:rsid w:val="000B13AD"/>
    <w:rsid w:val="000B232E"/>
    <w:rsid w:val="000B2E8F"/>
    <w:rsid w:val="000B4B56"/>
    <w:rsid w:val="000B4E59"/>
    <w:rsid w:val="000B5133"/>
    <w:rsid w:val="000B553D"/>
    <w:rsid w:val="000B56A3"/>
    <w:rsid w:val="000B6905"/>
    <w:rsid w:val="000B7DC3"/>
    <w:rsid w:val="000C01A9"/>
    <w:rsid w:val="000C0353"/>
    <w:rsid w:val="000C10C2"/>
    <w:rsid w:val="000C2CE0"/>
    <w:rsid w:val="000C3A2B"/>
    <w:rsid w:val="000C3AAE"/>
    <w:rsid w:val="000C4051"/>
    <w:rsid w:val="000C406A"/>
    <w:rsid w:val="000C50B0"/>
    <w:rsid w:val="000C5465"/>
    <w:rsid w:val="000C5FCF"/>
    <w:rsid w:val="000C6989"/>
    <w:rsid w:val="000C69AB"/>
    <w:rsid w:val="000C7170"/>
    <w:rsid w:val="000C747D"/>
    <w:rsid w:val="000C757F"/>
    <w:rsid w:val="000C7A7A"/>
    <w:rsid w:val="000C7C5D"/>
    <w:rsid w:val="000D072E"/>
    <w:rsid w:val="000D0BF8"/>
    <w:rsid w:val="000D1DB3"/>
    <w:rsid w:val="000D26EB"/>
    <w:rsid w:val="000D2A09"/>
    <w:rsid w:val="000D326E"/>
    <w:rsid w:val="000D4103"/>
    <w:rsid w:val="000D41FB"/>
    <w:rsid w:val="000D4B0A"/>
    <w:rsid w:val="000D4CC5"/>
    <w:rsid w:val="000D53FC"/>
    <w:rsid w:val="000D6760"/>
    <w:rsid w:val="000D68ED"/>
    <w:rsid w:val="000D71F6"/>
    <w:rsid w:val="000D72EA"/>
    <w:rsid w:val="000D7EE3"/>
    <w:rsid w:val="000E1096"/>
    <w:rsid w:val="000E10C7"/>
    <w:rsid w:val="000E13B5"/>
    <w:rsid w:val="000E1598"/>
    <w:rsid w:val="000E20D5"/>
    <w:rsid w:val="000E2CFF"/>
    <w:rsid w:val="000E38D3"/>
    <w:rsid w:val="000E47B9"/>
    <w:rsid w:val="000E4DB3"/>
    <w:rsid w:val="000E4DD2"/>
    <w:rsid w:val="000E4ED9"/>
    <w:rsid w:val="000E5A78"/>
    <w:rsid w:val="000E65AE"/>
    <w:rsid w:val="000E66A7"/>
    <w:rsid w:val="000E6DF9"/>
    <w:rsid w:val="000E7A73"/>
    <w:rsid w:val="000F0220"/>
    <w:rsid w:val="000F0B8B"/>
    <w:rsid w:val="000F12CF"/>
    <w:rsid w:val="000F157C"/>
    <w:rsid w:val="000F34AC"/>
    <w:rsid w:val="000F3BD5"/>
    <w:rsid w:val="000F42A9"/>
    <w:rsid w:val="000F4702"/>
    <w:rsid w:val="000F47D0"/>
    <w:rsid w:val="000F491E"/>
    <w:rsid w:val="000F5F7E"/>
    <w:rsid w:val="000F626C"/>
    <w:rsid w:val="000F683A"/>
    <w:rsid w:val="000F68CC"/>
    <w:rsid w:val="000F6C91"/>
    <w:rsid w:val="000F6D97"/>
    <w:rsid w:val="000F74F8"/>
    <w:rsid w:val="000F75D3"/>
    <w:rsid w:val="0010000C"/>
    <w:rsid w:val="0010061B"/>
    <w:rsid w:val="0010105C"/>
    <w:rsid w:val="001021F2"/>
    <w:rsid w:val="00103556"/>
    <w:rsid w:val="001037F1"/>
    <w:rsid w:val="00103F1F"/>
    <w:rsid w:val="001042B5"/>
    <w:rsid w:val="00104B24"/>
    <w:rsid w:val="00105374"/>
    <w:rsid w:val="0010571C"/>
    <w:rsid w:val="00105BD6"/>
    <w:rsid w:val="00105F2E"/>
    <w:rsid w:val="00106DF9"/>
    <w:rsid w:val="00107130"/>
    <w:rsid w:val="00107D1D"/>
    <w:rsid w:val="0011047C"/>
    <w:rsid w:val="00110497"/>
    <w:rsid w:val="0011098A"/>
    <w:rsid w:val="0011176F"/>
    <w:rsid w:val="001125FF"/>
    <w:rsid w:val="001135BA"/>
    <w:rsid w:val="00113990"/>
    <w:rsid w:val="00114929"/>
    <w:rsid w:val="00114C06"/>
    <w:rsid w:val="001153E0"/>
    <w:rsid w:val="00115ED0"/>
    <w:rsid w:val="00117E55"/>
    <w:rsid w:val="001201F3"/>
    <w:rsid w:val="00120AE8"/>
    <w:rsid w:val="00120F58"/>
    <w:rsid w:val="00122669"/>
    <w:rsid w:val="00122849"/>
    <w:rsid w:val="00122BF4"/>
    <w:rsid w:val="001242A2"/>
    <w:rsid w:val="00125D3F"/>
    <w:rsid w:val="00125F3E"/>
    <w:rsid w:val="00126914"/>
    <w:rsid w:val="0012793F"/>
    <w:rsid w:val="00127BD8"/>
    <w:rsid w:val="00127C26"/>
    <w:rsid w:val="00127E73"/>
    <w:rsid w:val="001302FD"/>
    <w:rsid w:val="00130D67"/>
    <w:rsid w:val="00131158"/>
    <w:rsid w:val="001315A4"/>
    <w:rsid w:val="00131686"/>
    <w:rsid w:val="001320EF"/>
    <w:rsid w:val="0013230E"/>
    <w:rsid w:val="00132894"/>
    <w:rsid w:val="00133C07"/>
    <w:rsid w:val="00134604"/>
    <w:rsid w:val="00134EBE"/>
    <w:rsid w:val="00134F57"/>
    <w:rsid w:val="00135A24"/>
    <w:rsid w:val="00135A50"/>
    <w:rsid w:val="0013687D"/>
    <w:rsid w:val="001400F3"/>
    <w:rsid w:val="001403D1"/>
    <w:rsid w:val="001407C8"/>
    <w:rsid w:val="00140D2B"/>
    <w:rsid w:val="00140DE3"/>
    <w:rsid w:val="00140FCA"/>
    <w:rsid w:val="001414BE"/>
    <w:rsid w:val="001417D3"/>
    <w:rsid w:val="00141B5B"/>
    <w:rsid w:val="00141F4B"/>
    <w:rsid w:val="00142D19"/>
    <w:rsid w:val="00142E82"/>
    <w:rsid w:val="0014395F"/>
    <w:rsid w:val="0014413A"/>
    <w:rsid w:val="00144171"/>
    <w:rsid w:val="00145D9B"/>
    <w:rsid w:val="00145F37"/>
    <w:rsid w:val="001461C9"/>
    <w:rsid w:val="00146745"/>
    <w:rsid w:val="00146A04"/>
    <w:rsid w:val="00146FBB"/>
    <w:rsid w:val="00147EC3"/>
    <w:rsid w:val="00150369"/>
    <w:rsid w:val="00150539"/>
    <w:rsid w:val="00150640"/>
    <w:rsid w:val="00150AB5"/>
    <w:rsid w:val="00150F92"/>
    <w:rsid w:val="00152423"/>
    <w:rsid w:val="00152D09"/>
    <w:rsid w:val="00153C8E"/>
    <w:rsid w:val="00153D6E"/>
    <w:rsid w:val="00154268"/>
    <w:rsid w:val="001542BA"/>
    <w:rsid w:val="001555D0"/>
    <w:rsid w:val="00157185"/>
    <w:rsid w:val="00157AA2"/>
    <w:rsid w:val="001603F7"/>
    <w:rsid w:val="001608A5"/>
    <w:rsid w:val="00160F0C"/>
    <w:rsid w:val="00162A85"/>
    <w:rsid w:val="001633CC"/>
    <w:rsid w:val="00163AC1"/>
    <w:rsid w:val="001643A8"/>
    <w:rsid w:val="0016484B"/>
    <w:rsid w:val="00164C14"/>
    <w:rsid w:val="00164C9C"/>
    <w:rsid w:val="00164F2E"/>
    <w:rsid w:val="00164F33"/>
    <w:rsid w:val="00166221"/>
    <w:rsid w:val="001671D4"/>
    <w:rsid w:val="00167772"/>
    <w:rsid w:val="001705DB"/>
    <w:rsid w:val="00170C90"/>
    <w:rsid w:val="00170F30"/>
    <w:rsid w:val="00171ACD"/>
    <w:rsid w:val="00171FC4"/>
    <w:rsid w:val="001725BF"/>
    <w:rsid w:val="0017329E"/>
    <w:rsid w:val="00174DB1"/>
    <w:rsid w:val="00174DB9"/>
    <w:rsid w:val="00174F66"/>
    <w:rsid w:val="00176D88"/>
    <w:rsid w:val="00177040"/>
    <w:rsid w:val="00177159"/>
    <w:rsid w:val="001777D6"/>
    <w:rsid w:val="00180134"/>
    <w:rsid w:val="0018038C"/>
    <w:rsid w:val="001821EB"/>
    <w:rsid w:val="00182FD2"/>
    <w:rsid w:val="0018327F"/>
    <w:rsid w:val="00183843"/>
    <w:rsid w:val="00183F96"/>
    <w:rsid w:val="00184024"/>
    <w:rsid w:val="001858B9"/>
    <w:rsid w:val="0018619C"/>
    <w:rsid w:val="00186209"/>
    <w:rsid w:val="001875C6"/>
    <w:rsid w:val="00187F96"/>
    <w:rsid w:val="001900CD"/>
    <w:rsid w:val="00190B1F"/>
    <w:rsid w:val="00191702"/>
    <w:rsid w:val="00193712"/>
    <w:rsid w:val="00193872"/>
    <w:rsid w:val="001939F3"/>
    <w:rsid w:val="00193EFF"/>
    <w:rsid w:val="00194BBF"/>
    <w:rsid w:val="00194D7B"/>
    <w:rsid w:val="001956F7"/>
    <w:rsid w:val="00195910"/>
    <w:rsid w:val="00196EC5"/>
    <w:rsid w:val="0019743E"/>
    <w:rsid w:val="0019752C"/>
    <w:rsid w:val="00197644"/>
    <w:rsid w:val="00197C86"/>
    <w:rsid w:val="00197DA2"/>
    <w:rsid w:val="00197F1B"/>
    <w:rsid w:val="001A0261"/>
    <w:rsid w:val="001A0BEF"/>
    <w:rsid w:val="001A0FAE"/>
    <w:rsid w:val="001A1869"/>
    <w:rsid w:val="001A206D"/>
    <w:rsid w:val="001A22FF"/>
    <w:rsid w:val="001A486A"/>
    <w:rsid w:val="001A48BA"/>
    <w:rsid w:val="001A4A99"/>
    <w:rsid w:val="001A6031"/>
    <w:rsid w:val="001A6278"/>
    <w:rsid w:val="001A7323"/>
    <w:rsid w:val="001B0596"/>
    <w:rsid w:val="001B06CD"/>
    <w:rsid w:val="001B160B"/>
    <w:rsid w:val="001B1780"/>
    <w:rsid w:val="001B2B2B"/>
    <w:rsid w:val="001B2F1E"/>
    <w:rsid w:val="001B301D"/>
    <w:rsid w:val="001B312D"/>
    <w:rsid w:val="001B3A9B"/>
    <w:rsid w:val="001B3DEA"/>
    <w:rsid w:val="001B46CB"/>
    <w:rsid w:val="001B5E19"/>
    <w:rsid w:val="001B5E6D"/>
    <w:rsid w:val="001B7884"/>
    <w:rsid w:val="001C0A7B"/>
    <w:rsid w:val="001C1657"/>
    <w:rsid w:val="001C1B13"/>
    <w:rsid w:val="001C1CA1"/>
    <w:rsid w:val="001C1CFD"/>
    <w:rsid w:val="001C1F8E"/>
    <w:rsid w:val="001C245C"/>
    <w:rsid w:val="001C2F65"/>
    <w:rsid w:val="001C39FA"/>
    <w:rsid w:val="001C5371"/>
    <w:rsid w:val="001C58FC"/>
    <w:rsid w:val="001C5D42"/>
    <w:rsid w:val="001C5F0D"/>
    <w:rsid w:val="001C63E1"/>
    <w:rsid w:val="001C6B52"/>
    <w:rsid w:val="001C6F24"/>
    <w:rsid w:val="001C759C"/>
    <w:rsid w:val="001C7D12"/>
    <w:rsid w:val="001C7EEC"/>
    <w:rsid w:val="001D00AB"/>
    <w:rsid w:val="001D0573"/>
    <w:rsid w:val="001D07A0"/>
    <w:rsid w:val="001D3271"/>
    <w:rsid w:val="001D372C"/>
    <w:rsid w:val="001D3A6E"/>
    <w:rsid w:val="001D49CE"/>
    <w:rsid w:val="001D4D11"/>
    <w:rsid w:val="001D5443"/>
    <w:rsid w:val="001D54B7"/>
    <w:rsid w:val="001D57A1"/>
    <w:rsid w:val="001D5A50"/>
    <w:rsid w:val="001D5D6F"/>
    <w:rsid w:val="001D6564"/>
    <w:rsid w:val="001D6B5F"/>
    <w:rsid w:val="001D6B69"/>
    <w:rsid w:val="001D743D"/>
    <w:rsid w:val="001D779A"/>
    <w:rsid w:val="001D7E76"/>
    <w:rsid w:val="001E0B78"/>
    <w:rsid w:val="001E1A44"/>
    <w:rsid w:val="001E1C9B"/>
    <w:rsid w:val="001E269C"/>
    <w:rsid w:val="001E440C"/>
    <w:rsid w:val="001E44B9"/>
    <w:rsid w:val="001E4590"/>
    <w:rsid w:val="001E45B7"/>
    <w:rsid w:val="001E4AC8"/>
    <w:rsid w:val="001E5271"/>
    <w:rsid w:val="001E6652"/>
    <w:rsid w:val="001E6B04"/>
    <w:rsid w:val="001E6BB6"/>
    <w:rsid w:val="001E6C21"/>
    <w:rsid w:val="001E76A0"/>
    <w:rsid w:val="001F001F"/>
    <w:rsid w:val="001F0178"/>
    <w:rsid w:val="001F0433"/>
    <w:rsid w:val="001F09B4"/>
    <w:rsid w:val="001F0AE5"/>
    <w:rsid w:val="001F0B2A"/>
    <w:rsid w:val="001F1FF4"/>
    <w:rsid w:val="001F2137"/>
    <w:rsid w:val="001F2964"/>
    <w:rsid w:val="001F2A8D"/>
    <w:rsid w:val="001F2E11"/>
    <w:rsid w:val="001F2FB7"/>
    <w:rsid w:val="001F3498"/>
    <w:rsid w:val="001F35B6"/>
    <w:rsid w:val="001F3EAD"/>
    <w:rsid w:val="001F3F5E"/>
    <w:rsid w:val="001F420A"/>
    <w:rsid w:val="001F445F"/>
    <w:rsid w:val="001F4E18"/>
    <w:rsid w:val="001F55E3"/>
    <w:rsid w:val="001F56B6"/>
    <w:rsid w:val="001F57F1"/>
    <w:rsid w:val="001F5F79"/>
    <w:rsid w:val="001F6C21"/>
    <w:rsid w:val="001F72FF"/>
    <w:rsid w:val="001F7306"/>
    <w:rsid w:val="001F741D"/>
    <w:rsid w:val="001F7540"/>
    <w:rsid w:val="00200E63"/>
    <w:rsid w:val="00201096"/>
    <w:rsid w:val="002041E5"/>
    <w:rsid w:val="00204BF3"/>
    <w:rsid w:val="0020592C"/>
    <w:rsid w:val="00206716"/>
    <w:rsid w:val="002069CB"/>
    <w:rsid w:val="00207C8F"/>
    <w:rsid w:val="00210539"/>
    <w:rsid w:val="002111A5"/>
    <w:rsid w:val="00211208"/>
    <w:rsid w:val="00211404"/>
    <w:rsid w:val="00211E20"/>
    <w:rsid w:val="00212AF3"/>
    <w:rsid w:val="002131A4"/>
    <w:rsid w:val="0021320A"/>
    <w:rsid w:val="00213BA2"/>
    <w:rsid w:val="00214CCF"/>
    <w:rsid w:val="00215F8F"/>
    <w:rsid w:val="00215FE6"/>
    <w:rsid w:val="0021630A"/>
    <w:rsid w:val="002164C7"/>
    <w:rsid w:val="0021656A"/>
    <w:rsid w:val="002179AF"/>
    <w:rsid w:val="00217D26"/>
    <w:rsid w:val="00217D9A"/>
    <w:rsid w:val="00217E17"/>
    <w:rsid w:val="002206D8"/>
    <w:rsid w:val="002211F0"/>
    <w:rsid w:val="00221497"/>
    <w:rsid w:val="00221BED"/>
    <w:rsid w:val="00222F20"/>
    <w:rsid w:val="00223608"/>
    <w:rsid w:val="002238AC"/>
    <w:rsid w:val="00223A49"/>
    <w:rsid w:val="00224D93"/>
    <w:rsid w:val="0022516B"/>
    <w:rsid w:val="0022587B"/>
    <w:rsid w:val="00226637"/>
    <w:rsid w:val="00226A42"/>
    <w:rsid w:val="00226B51"/>
    <w:rsid w:val="00226F09"/>
    <w:rsid w:val="00227010"/>
    <w:rsid w:val="00227271"/>
    <w:rsid w:val="00227679"/>
    <w:rsid w:val="00227BD3"/>
    <w:rsid w:val="00227ECA"/>
    <w:rsid w:val="00230246"/>
    <w:rsid w:val="002307E9"/>
    <w:rsid w:val="00231229"/>
    <w:rsid w:val="00232645"/>
    <w:rsid w:val="00234B4F"/>
    <w:rsid w:val="00234CCF"/>
    <w:rsid w:val="00234F76"/>
    <w:rsid w:val="002351BF"/>
    <w:rsid w:val="002352F5"/>
    <w:rsid w:val="0023555D"/>
    <w:rsid w:val="00235B0B"/>
    <w:rsid w:val="00235FA1"/>
    <w:rsid w:val="0023713B"/>
    <w:rsid w:val="00237E0C"/>
    <w:rsid w:val="00237E22"/>
    <w:rsid w:val="00240902"/>
    <w:rsid w:val="00241867"/>
    <w:rsid w:val="00241C52"/>
    <w:rsid w:val="002424BA"/>
    <w:rsid w:val="0024271D"/>
    <w:rsid w:val="00243004"/>
    <w:rsid w:val="00245CF8"/>
    <w:rsid w:val="00245E7D"/>
    <w:rsid w:val="00246F71"/>
    <w:rsid w:val="00246FE6"/>
    <w:rsid w:val="002470C1"/>
    <w:rsid w:val="00247111"/>
    <w:rsid w:val="0024781E"/>
    <w:rsid w:val="00250CB6"/>
    <w:rsid w:val="00250EE8"/>
    <w:rsid w:val="002519FE"/>
    <w:rsid w:val="00252375"/>
    <w:rsid w:val="00252A75"/>
    <w:rsid w:val="0025319A"/>
    <w:rsid w:val="00253842"/>
    <w:rsid w:val="00253A68"/>
    <w:rsid w:val="00254171"/>
    <w:rsid w:val="0025440F"/>
    <w:rsid w:val="00254EEC"/>
    <w:rsid w:val="0025541D"/>
    <w:rsid w:val="0025587E"/>
    <w:rsid w:val="00255BB0"/>
    <w:rsid w:val="00256050"/>
    <w:rsid w:val="00257589"/>
    <w:rsid w:val="002609DE"/>
    <w:rsid w:val="00260A72"/>
    <w:rsid w:val="0026199A"/>
    <w:rsid w:val="00261A84"/>
    <w:rsid w:val="002626C0"/>
    <w:rsid w:val="002629BA"/>
    <w:rsid w:val="00262EE9"/>
    <w:rsid w:val="00263672"/>
    <w:rsid w:val="00263FBC"/>
    <w:rsid w:val="002651D3"/>
    <w:rsid w:val="002659CF"/>
    <w:rsid w:val="00265AAF"/>
    <w:rsid w:val="00266625"/>
    <w:rsid w:val="00266BD9"/>
    <w:rsid w:val="00266E93"/>
    <w:rsid w:val="00267362"/>
    <w:rsid w:val="002676F7"/>
    <w:rsid w:val="00267BB5"/>
    <w:rsid w:val="0027043C"/>
    <w:rsid w:val="002705BF"/>
    <w:rsid w:val="00270B74"/>
    <w:rsid w:val="00271123"/>
    <w:rsid w:val="002721C6"/>
    <w:rsid w:val="00272845"/>
    <w:rsid w:val="00272997"/>
    <w:rsid w:val="00272D26"/>
    <w:rsid w:val="00272E79"/>
    <w:rsid w:val="002731DB"/>
    <w:rsid w:val="00273D6D"/>
    <w:rsid w:val="0027487C"/>
    <w:rsid w:val="00274955"/>
    <w:rsid w:val="002754C2"/>
    <w:rsid w:val="00275532"/>
    <w:rsid w:val="0027680B"/>
    <w:rsid w:val="002770E8"/>
    <w:rsid w:val="00277554"/>
    <w:rsid w:val="0028231B"/>
    <w:rsid w:val="002824AD"/>
    <w:rsid w:val="002826FB"/>
    <w:rsid w:val="00283C67"/>
    <w:rsid w:val="00283E0E"/>
    <w:rsid w:val="00284AE6"/>
    <w:rsid w:val="00284CE4"/>
    <w:rsid w:val="0028531B"/>
    <w:rsid w:val="002858A6"/>
    <w:rsid w:val="00285C85"/>
    <w:rsid w:val="00286027"/>
    <w:rsid w:val="00286BA0"/>
    <w:rsid w:val="00286BC8"/>
    <w:rsid w:val="00287E07"/>
    <w:rsid w:val="00291CE4"/>
    <w:rsid w:val="00291E9B"/>
    <w:rsid w:val="002923E6"/>
    <w:rsid w:val="00294179"/>
    <w:rsid w:val="00294FF0"/>
    <w:rsid w:val="00296604"/>
    <w:rsid w:val="00296E11"/>
    <w:rsid w:val="00297C65"/>
    <w:rsid w:val="002A006D"/>
    <w:rsid w:val="002A023D"/>
    <w:rsid w:val="002A0287"/>
    <w:rsid w:val="002A1325"/>
    <w:rsid w:val="002A189F"/>
    <w:rsid w:val="002A18F4"/>
    <w:rsid w:val="002A1DD0"/>
    <w:rsid w:val="002A20E2"/>
    <w:rsid w:val="002A425F"/>
    <w:rsid w:val="002A52FF"/>
    <w:rsid w:val="002A69E3"/>
    <w:rsid w:val="002A726F"/>
    <w:rsid w:val="002A7B28"/>
    <w:rsid w:val="002A7EC3"/>
    <w:rsid w:val="002B041D"/>
    <w:rsid w:val="002B06B3"/>
    <w:rsid w:val="002B09EC"/>
    <w:rsid w:val="002B0EC8"/>
    <w:rsid w:val="002B206F"/>
    <w:rsid w:val="002B21A1"/>
    <w:rsid w:val="002B2E57"/>
    <w:rsid w:val="002B3CAB"/>
    <w:rsid w:val="002B7786"/>
    <w:rsid w:val="002C1356"/>
    <w:rsid w:val="002C2C63"/>
    <w:rsid w:val="002C2FFD"/>
    <w:rsid w:val="002C3626"/>
    <w:rsid w:val="002C3C33"/>
    <w:rsid w:val="002C3E5F"/>
    <w:rsid w:val="002C485A"/>
    <w:rsid w:val="002C4CC5"/>
    <w:rsid w:val="002C505F"/>
    <w:rsid w:val="002C5FB2"/>
    <w:rsid w:val="002C73AB"/>
    <w:rsid w:val="002C7C50"/>
    <w:rsid w:val="002D0064"/>
    <w:rsid w:val="002D009A"/>
    <w:rsid w:val="002D0941"/>
    <w:rsid w:val="002D0C84"/>
    <w:rsid w:val="002D117C"/>
    <w:rsid w:val="002D197F"/>
    <w:rsid w:val="002D1A20"/>
    <w:rsid w:val="002D3106"/>
    <w:rsid w:val="002D3675"/>
    <w:rsid w:val="002D3705"/>
    <w:rsid w:val="002D468B"/>
    <w:rsid w:val="002D48E6"/>
    <w:rsid w:val="002D642B"/>
    <w:rsid w:val="002D67E4"/>
    <w:rsid w:val="002D6966"/>
    <w:rsid w:val="002D6E62"/>
    <w:rsid w:val="002D7E6F"/>
    <w:rsid w:val="002E0925"/>
    <w:rsid w:val="002E0EA3"/>
    <w:rsid w:val="002E1350"/>
    <w:rsid w:val="002E13FB"/>
    <w:rsid w:val="002E1D82"/>
    <w:rsid w:val="002E1DCF"/>
    <w:rsid w:val="002E23C1"/>
    <w:rsid w:val="002E24E5"/>
    <w:rsid w:val="002E28E3"/>
    <w:rsid w:val="002E2CCA"/>
    <w:rsid w:val="002E538B"/>
    <w:rsid w:val="002E59ED"/>
    <w:rsid w:val="002E5D24"/>
    <w:rsid w:val="002E677E"/>
    <w:rsid w:val="002E7B24"/>
    <w:rsid w:val="002E7CFC"/>
    <w:rsid w:val="002E7D7C"/>
    <w:rsid w:val="002F0144"/>
    <w:rsid w:val="002F04AC"/>
    <w:rsid w:val="002F1018"/>
    <w:rsid w:val="002F1481"/>
    <w:rsid w:val="002F2449"/>
    <w:rsid w:val="002F263A"/>
    <w:rsid w:val="002F38E3"/>
    <w:rsid w:val="002F4623"/>
    <w:rsid w:val="002F4704"/>
    <w:rsid w:val="002F4EF4"/>
    <w:rsid w:val="002F5254"/>
    <w:rsid w:val="002F58D0"/>
    <w:rsid w:val="002F5F55"/>
    <w:rsid w:val="002F6007"/>
    <w:rsid w:val="002F6393"/>
    <w:rsid w:val="002F6579"/>
    <w:rsid w:val="00300025"/>
    <w:rsid w:val="0030022F"/>
    <w:rsid w:val="003007AA"/>
    <w:rsid w:val="003010D3"/>
    <w:rsid w:val="00301B7C"/>
    <w:rsid w:val="003026F8"/>
    <w:rsid w:val="00302C4E"/>
    <w:rsid w:val="00302CEC"/>
    <w:rsid w:val="00302DF8"/>
    <w:rsid w:val="0030360D"/>
    <w:rsid w:val="00303E5B"/>
    <w:rsid w:val="00304DAC"/>
    <w:rsid w:val="0030517D"/>
    <w:rsid w:val="00305B8E"/>
    <w:rsid w:val="0030608C"/>
    <w:rsid w:val="0030718E"/>
    <w:rsid w:val="003074BD"/>
    <w:rsid w:val="00307714"/>
    <w:rsid w:val="00307967"/>
    <w:rsid w:val="00310615"/>
    <w:rsid w:val="00310791"/>
    <w:rsid w:val="00310C78"/>
    <w:rsid w:val="00310D6C"/>
    <w:rsid w:val="00311E3C"/>
    <w:rsid w:val="00312EE4"/>
    <w:rsid w:val="0031329A"/>
    <w:rsid w:val="003138AA"/>
    <w:rsid w:val="00313944"/>
    <w:rsid w:val="00313A5E"/>
    <w:rsid w:val="0031461E"/>
    <w:rsid w:val="00316EC9"/>
    <w:rsid w:val="0031734B"/>
    <w:rsid w:val="003173E3"/>
    <w:rsid w:val="00317C4A"/>
    <w:rsid w:val="00320547"/>
    <w:rsid w:val="0032056A"/>
    <w:rsid w:val="003208EB"/>
    <w:rsid w:val="00321798"/>
    <w:rsid w:val="00321AC8"/>
    <w:rsid w:val="00322C55"/>
    <w:rsid w:val="003233C6"/>
    <w:rsid w:val="00323624"/>
    <w:rsid w:val="0032385B"/>
    <w:rsid w:val="0032386C"/>
    <w:rsid w:val="00323D2A"/>
    <w:rsid w:val="00323F74"/>
    <w:rsid w:val="00324FD3"/>
    <w:rsid w:val="00325BAB"/>
    <w:rsid w:val="00325F0D"/>
    <w:rsid w:val="00326C29"/>
    <w:rsid w:val="00327470"/>
    <w:rsid w:val="0033154D"/>
    <w:rsid w:val="0033249A"/>
    <w:rsid w:val="00332513"/>
    <w:rsid w:val="00332B23"/>
    <w:rsid w:val="00333063"/>
    <w:rsid w:val="003330CD"/>
    <w:rsid w:val="00333AEC"/>
    <w:rsid w:val="00333C6E"/>
    <w:rsid w:val="00333D78"/>
    <w:rsid w:val="003346CE"/>
    <w:rsid w:val="003350AD"/>
    <w:rsid w:val="003350EF"/>
    <w:rsid w:val="00335B4F"/>
    <w:rsid w:val="003368A4"/>
    <w:rsid w:val="0033698C"/>
    <w:rsid w:val="003376C2"/>
    <w:rsid w:val="003402BC"/>
    <w:rsid w:val="00341668"/>
    <w:rsid w:val="0034336E"/>
    <w:rsid w:val="00343380"/>
    <w:rsid w:val="00344363"/>
    <w:rsid w:val="003446A4"/>
    <w:rsid w:val="003464FD"/>
    <w:rsid w:val="00346D51"/>
    <w:rsid w:val="00347750"/>
    <w:rsid w:val="003500A1"/>
    <w:rsid w:val="00350121"/>
    <w:rsid w:val="00350718"/>
    <w:rsid w:val="00350D9A"/>
    <w:rsid w:val="003512E7"/>
    <w:rsid w:val="0035166E"/>
    <w:rsid w:val="0035192A"/>
    <w:rsid w:val="00354563"/>
    <w:rsid w:val="0035475C"/>
    <w:rsid w:val="003554D1"/>
    <w:rsid w:val="003561CB"/>
    <w:rsid w:val="00361060"/>
    <w:rsid w:val="003611E0"/>
    <w:rsid w:val="00361F9F"/>
    <w:rsid w:val="00362825"/>
    <w:rsid w:val="00362E88"/>
    <w:rsid w:val="00362ED5"/>
    <w:rsid w:val="003630B9"/>
    <w:rsid w:val="00363223"/>
    <w:rsid w:val="00363487"/>
    <w:rsid w:val="003638CA"/>
    <w:rsid w:val="00364695"/>
    <w:rsid w:val="0036498F"/>
    <w:rsid w:val="00365B09"/>
    <w:rsid w:val="00366B7D"/>
    <w:rsid w:val="00366C7F"/>
    <w:rsid w:val="00366F2B"/>
    <w:rsid w:val="0036710E"/>
    <w:rsid w:val="00370655"/>
    <w:rsid w:val="003711C5"/>
    <w:rsid w:val="00371510"/>
    <w:rsid w:val="0037153B"/>
    <w:rsid w:val="003715E2"/>
    <w:rsid w:val="003718F1"/>
    <w:rsid w:val="003726B0"/>
    <w:rsid w:val="00372F3E"/>
    <w:rsid w:val="00373348"/>
    <w:rsid w:val="0037366A"/>
    <w:rsid w:val="00374567"/>
    <w:rsid w:val="00374DCE"/>
    <w:rsid w:val="00374E93"/>
    <w:rsid w:val="00374F60"/>
    <w:rsid w:val="0037638B"/>
    <w:rsid w:val="00380161"/>
    <w:rsid w:val="00380472"/>
    <w:rsid w:val="00380C6D"/>
    <w:rsid w:val="00380E47"/>
    <w:rsid w:val="00381F89"/>
    <w:rsid w:val="003823F5"/>
    <w:rsid w:val="00382549"/>
    <w:rsid w:val="003835B7"/>
    <w:rsid w:val="0038371A"/>
    <w:rsid w:val="00383B03"/>
    <w:rsid w:val="00383C61"/>
    <w:rsid w:val="003842BE"/>
    <w:rsid w:val="00385A8B"/>
    <w:rsid w:val="003866E9"/>
    <w:rsid w:val="003869EA"/>
    <w:rsid w:val="00386FCD"/>
    <w:rsid w:val="00387487"/>
    <w:rsid w:val="003875BF"/>
    <w:rsid w:val="00387CF8"/>
    <w:rsid w:val="00390574"/>
    <w:rsid w:val="00390AB1"/>
    <w:rsid w:val="00390B96"/>
    <w:rsid w:val="00390EDE"/>
    <w:rsid w:val="0039112F"/>
    <w:rsid w:val="00391159"/>
    <w:rsid w:val="003913D9"/>
    <w:rsid w:val="00391760"/>
    <w:rsid w:val="00391EEA"/>
    <w:rsid w:val="0039239A"/>
    <w:rsid w:val="003925E9"/>
    <w:rsid w:val="00392A8C"/>
    <w:rsid w:val="00393004"/>
    <w:rsid w:val="00393E21"/>
    <w:rsid w:val="00393F16"/>
    <w:rsid w:val="00394C25"/>
    <w:rsid w:val="00396503"/>
    <w:rsid w:val="00396CAF"/>
    <w:rsid w:val="003979EE"/>
    <w:rsid w:val="00397B57"/>
    <w:rsid w:val="00397D9B"/>
    <w:rsid w:val="00397FCA"/>
    <w:rsid w:val="003A00B2"/>
    <w:rsid w:val="003A0AE0"/>
    <w:rsid w:val="003A0B31"/>
    <w:rsid w:val="003A1C34"/>
    <w:rsid w:val="003A1D60"/>
    <w:rsid w:val="003A1E43"/>
    <w:rsid w:val="003A281D"/>
    <w:rsid w:val="003A3A91"/>
    <w:rsid w:val="003A4EF4"/>
    <w:rsid w:val="003A4F64"/>
    <w:rsid w:val="003A5098"/>
    <w:rsid w:val="003A5124"/>
    <w:rsid w:val="003A5994"/>
    <w:rsid w:val="003A5C14"/>
    <w:rsid w:val="003A70DC"/>
    <w:rsid w:val="003A7F56"/>
    <w:rsid w:val="003A7F8A"/>
    <w:rsid w:val="003B06D7"/>
    <w:rsid w:val="003B10D9"/>
    <w:rsid w:val="003B1B22"/>
    <w:rsid w:val="003B2AA3"/>
    <w:rsid w:val="003B577A"/>
    <w:rsid w:val="003B6B0D"/>
    <w:rsid w:val="003B7794"/>
    <w:rsid w:val="003B7818"/>
    <w:rsid w:val="003C06DD"/>
    <w:rsid w:val="003C1056"/>
    <w:rsid w:val="003C10C2"/>
    <w:rsid w:val="003C1D70"/>
    <w:rsid w:val="003C20E0"/>
    <w:rsid w:val="003C2208"/>
    <w:rsid w:val="003C2530"/>
    <w:rsid w:val="003C28E3"/>
    <w:rsid w:val="003C5992"/>
    <w:rsid w:val="003C62E4"/>
    <w:rsid w:val="003C64C9"/>
    <w:rsid w:val="003C6A6A"/>
    <w:rsid w:val="003C6D83"/>
    <w:rsid w:val="003D012D"/>
    <w:rsid w:val="003D191D"/>
    <w:rsid w:val="003D1E67"/>
    <w:rsid w:val="003D1EC4"/>
    <w:rsid w:val="003D2157"/>
    <w:rsid w:val="003D21DF"/>
    <w:rsid w:val="003D22BC"/>
    <w:rsid w:val="003D325B"/>
    <w:rsid w:val="003D33DC"/>
    <w:rsid w:val="003D362E"/>
    <w:rsid w:val="003D3E4F"/>
    <w:rsid w:val="003D3EC8"/>
    <w:rsid w:val="003D43BF"/>
    <w:rsid w:val="003D46DB"/>
    <w:rsid w:val="003D51AE"/>
    <w:rsid w:val="003D522D"/>
    <w:rsid w:val="003D54F1"/>
    <w:rsid w:val="003D59E0"/>
    <w:rsid w:val="003D610E"/>
    <w:rsid w:val="003D6A97"/>
    <w:rsid w:val="003D7C64"/>
    <w:rsid w:val="003E00E0"/>
    <w:rsid w:val="003E0198"/>
    <w:rsid w:val="003E070E"/>
    <w:rsid w:val="003E0B7E"/>
    <w:rsid w:val="003E10A2"/>
    <w:rsid w:val="003E154C"/>
    <w:rsid w:val="003E1A9C"/>
    <w:rsid w:val="003E244D"/>
    <w:rsid w:val="003E3A04"/>
    <w:rsid w:val="003E3DC2"/>
    <w:rsid w:val="003E4A6B"/>
    <w:rsid w:val="003E4B62"/>
    <w:rsid w:val="003E6E17"/>
    <w:rsid w:val="003E7348"/>
    <w:rsid w:val="003E7769"/>
    <w:rsid w:val="003F046F"/>
    <w:rsid w:val="003F063D"/>
    <w:rsid w:val="003F0692"/>
    <w:rsid w:val="003F0B9D"/>
    <w:rsid w:val="003F20B1"/>
    <w:rsid w:val="003F2139"/>
    <w:rsid w:val="003F2758"/>
    <w:rsid w:val="003F3862"/>
    <w:rsid w:val="003F3EC6"/>
    <w:rsid w:val="003F46E3"/>
    <w:rsid w:val="003F4A2F"/>
    <w:rsid w:val="003F4B61"/>
    <w:rsid w:val="003F4E95"/>
    <w:rsid w:val="003F5575"/>
    <w:rsid w:val="003F6E4E"/>
    <w:rsid w:val="003F6ECE"/>
    <w:rsid w:val="003F7616"/>
    <w:rsid w:val="003F7E14"/>
    <w:rsid w:val="004005DB"/>
    <w:rsid w:val="00400ACD"/>
    <w:rsid w:val="0040106C"/>
    <w:rsid w:val="00401279"/>
    <w:rsid w:val="004017F2"/>
    <w:rsid w:val="00401AB9"/>
    <w:rsid w:val="00401FD9"/>
    <w:rsid w:val="004021CA"/>
    <w:rsid w:val="00402A02"/>
    <w:rsid w:val="00402AD6"/>
    <w:rsid w:val="0040455F"/>
    <w:rsid w:val="004047CC"/>
    <w:rsid w:val="0040495A"/>
    <w:rsid w:val="00405DB3"/>
    <w:rsid w:val="00405E72"/>
    <w:rsid w:val="004061D1"/>
    <w:rsid w:val="0040636F"/>
    <w:rsid w:val="004066E4"/>
    <w:rsid w:val="0040691D"/>
    <w:rsid w:val="00406D68"/>
    <w:rsid w:val="00406E42"/>
    <w:rsid w:val="0040756C"/>
    <w:rsid w:val="004078C5"/>
    <w:rsid w:val="00410D18"/>
    <w:rsid w:val="0041102A"/>
    <w:rsid w:val="0041148E"/>
    <w:rsid w:val="00411681"/>
    <w:rsid w:val="00411FB1"/>
    <w:rsid w:val="004122C7"/>
    <w:rsid w:val="004122CD"/>
    <w:rsid w:val="004125E8"/>
    <w:rsid w:val="00412752"/>
    <w:rsid w:val="00412862"/>
    <w:rsid w:val="004130A9"/>
    <w:rsid w:val="00413C7C"/>
    <w:rsid w:val="00413EC5"/>
    <w:rsid w:val="004169F8"/>
    <w:rsid w:val="00417386"/>
    <w:rsid w:val="004173BD"/>
    <w:rsid w:val="00417833"/>
    <w:rsid w:val="004178F4"/>
    <w:rsid w:val="00417FAB"/>
    <w:rsid w:val="00420177"/>
    <w:rsid w:val="00421988"/>
    <w:rsid w:val="00421A2E"/>
    <w:rsid w:val="0042315B"/>
    <w:rsid w:val="00424395"/>
    <w:rsid w:val="00424462"/>
    <w:rsid w:val="00425999"/>
    <w:rsid w:val="00426279"/>
    <w:rsid w:val="00426C09"/>
    <w:rsid w:val="00426EC2"/>
    <w:rsid w:val="00426F58"/>
    <w:rsid w:val="00427EC9"/>
    <w:rsid w:val="00430123"/>
    <w:rsid w:val="004301AA"/>
    <w:rsid w:val="00430F43"/>
    <w:rsid w:val="004313DB"/>
    <w:rsid w:val="004314E1"/>
    <w:rsid w:val="004320CA"/>
    <w:rsid w:val="00432525"/>
    <w:rsid w:val="00432D4E"/>
    <w:rsid w:val="0043353E"/>
    <w:rsid w:val="00434041"/>
    <w:rsid w:val="0043510F"/>
    <w:rsid w:val="00435C0D"/>
    <w:rsid w:val="004369D6"/>
    <w:rsid w:val="0043730B"/>
    <w:rsid w:val="004377A6"/>
    <w:rsid w:val="00437849"/>
    <w:rsid w:val="004378C7"/>
    <w:rsid w:val="00437AFF"/>
    <w:rsid w:val="00437C69"/>
    <w:rsid w:val="00437D66"/>
    <w:rsid w:val="00437E21"/>
    <w:rsid w:val="00440B27"/>
    <w:rsid w:val="004411B8"/>
    <w:rsid w:val="00442EC1"/>
    <w:rsid w:val="0044463C"/>
    <w:rsid w:val="0044561C"/>
    <w:rsid w:val="00446999"/>
    <w:rsid w:val="00446A16"/>
    <w:rsid w:val="00447347"/>
    <w:rsid w:val="004474AE"/>
    <w:rsid w:val="00447C08"/>
    <w:rsid w:val="00447E1A"/>
    <w:rsid w:val="004501D4"/>
    <w:rsid w:val="00450F75"/>
    <w:rsid w:val="0045153D"/>
    <w:rsid w:val="004563E4"/>
    <w:rsid w:val="0045689A"/>
    <w:rsid w:val="00456FCA"/>
    <w:rsid w:val="00457A6C"/>
    <w:rsid w:val="004609E3"/>
    <w:rsid w:val="00460B02"/>
    <w:rsid w:val="00461E1F"/>
    <w:rsid w:val="004625C0"/>
    <w:rsid w:val="00462C13"/>
    <w:rsid w:val="00463C1E"/>
    <w:rsid w:val="00463C36"/>
    <w:rsid w:val="00463D89"/>
    <w:rsid w:val="00464468"/>
    <w:rsid w:val="00464C35"/>
    <w:rsid w:val="00464CB7"/>
    <w:rsid w:val="00464F8F"/>
    <w:rsid w:val="00465074"/>
    <w:rsid w:val="004653B7"/>
    <w:rsid w:val="004654BF"/>
    <w:rsid w:val="0046553E"/>
    <w:rsid w:val="00465F3D"/>
    <w:rsid w:val="0047013B"/>
    <w:rsid w:val="004701BF"/>
    <w:rsid w:val="00471921"/>
    <w:rsid w:val="00471C48"/>
    <w:rsid w:val="00472E65"/>
    <w:rsid w:val="0047327A"/>
    <w:rsid w:val="00473DF1"/>
    <w:rsid w:val="00474056"/>
    <w:rsid w:val="00474348"/>
    <w:rsid w:val="004746AD"/>
    <w:rsid w:val="0047475E"/>
    <w:rsid w:val="00474777"/>
    <w:rsid w:val="004749A2"/>
    <w:rsid w:val="00474E09"/>
    <w:rsid w:val="00475759"/>
    <w:rsid w:val="00475C04"/>
    <w:rsid w:val="004770C6"/>
    <w:rsid w:val="00481146"/>
    <w:rsid w:val="00481233"/>
    <w:rsid w:val="00481339"/>
    <w:rsid w:val="00481446"/>
    <w:rsid w:val="004818C9"/>
    <w:rsid w:val="004819B8"/>
    <w:rsid w:val="00482CED"/>
    <w:rsid w:val="00483B17"/>
    <w:rsid w:val="004846DA"/>
    <w:rsid w:val="00484AD4"/>
    <w:rsid w:val="00485936"/>
    <w:rsid w:val="00485F7E"/>
    <w:rsid w:val="00485FD0"/>
    <w:rsid w:val="0048605B"/>
    <w:rsid w:val="00486867"/>
    <w:rsid w:val="00486B6F"/>
    <w:rsid w:val="00487522"/>
    <w:rsid w:val="004903F8"/>
    <w:rsid w:val="0049050C"/>
    <w:rsid w:val="00490C00"/>
    <w:rsid w:val="00491266"/>
    <w:rsid w:val="0049198B"/>
    <w:rsid w:val="00491EEC"/>
    <w:rsid w:val="00492296"/>
    <w:rsid w:val="00492663"/>
    <w:rsid w:val="00492825"/>
    <w:rsid w:val="00492A60"/>
    <w:rsid w:val="0049400A"/>
    <w:rsid w:val="0049456F"/>
    <w:rsid w:val="00494722"/>
    <w:rsid w:val="0049580A"/>
    <w:rsid w:val="0049664B"/>
    <w:rsid w:val="0049736C"/>
    <w:rsid w:val="004977C9"/>
    <w:rsid w:val="00497C42"/>
    <w:rsid w:val="004A078E"/>
    <w:rsid w:val="004A09EA"/>
    <w:rsid w:val="004A0A76"/>
    <w:rsid w:val="004A0B8F"/>
    <w:rsid w:val="004A0BE9"/>
    <w:rsid w:val="004A0D57"/>
    <w:rsid w:val="004A0DE1"/>
    <w:rsid w:val="004A0ED1"/>
    <w:rsid w:val="004A1657"/>
    <w:rsid w:val="004A19C7"/>
    <w:rsid w:val="004A1CA7"/>
    <w:rsid w:val="004A2EFF"/>
    <w:rsid w:val="004A49E3"/>
    <w:rsid w:val="004A4D10"/>
    <w:rsid w:val="004A4E58"/>
    <w:rsid w:val="004A51E7"/>
    <w:rsid w:val="004A6545"/>
    <w:rsid w:val="004A6637"/>
    <w:rsid w:val="004A6CA2"/>
    <w:rsid w:val="004A728E"/>
    <w:rsid w:val="004A75A4"/>
    <w:rsid w:val="004A7865"/>
    <w:rsid w:val="004B0826"/>
    <w:rsid w:val="004B0CF0"/>
    <w:rsid w:val="004B1DB7"/>
    <w:rsid w:val="004B2389"/>
    <w:rsid w:val="004B30BE"/>
    <w:rsid w:val="004B44B5"/>
    <w:rsid w:val="004B46C4"/>
    <w:rsid w:val="004B4CEE"/>
    <w:rsid w:val="004B5014"/>
    <w:rsid w:val="004B58F9"/>
    <w:rsid w:val="004B69D8"/>
    <w:rsid w:val="004B6AE9"/>
    <w:rsid w:val="004B6C38"/>
    <w:rsid w:val="004B725D"/>
    <w:rsid w:val="004B7482"/>
    <w:rsid w:val="004B7773"/>
    <w:rsid w:val="004C01C6"/>
    <w:rsid w:val="004C0B3C"/>
    <w:rsid w:val="004C0B83"/>
    <w:rsid w:val="004C1483"/>
    <w:rsid w:val="004C240B"/>
    <w:rsid w:val="004C26DC"/>
    <w:rsid w:val="004C2C50"/>
    <w:rsid w:val="004C33E4"/>
    <w:rsid w:val="004C3447"/>
    <w:rsid w:val="004C4947"/>
    <w:rsid w:val="004C797B"/>
    <w:rsid w:val="004C7D1F"/>
    <w:rsid w:val="004D1007"/>
    <w:rsid w:val="004D166E"/>
    <w:rsid w:val="004D18BD"/>
    <w:rsid w:val="004D1B0F"/>
    <w:rsid w:val="004D1D81"/>
    <w:rsid w:val="004D1E0A"/>
    <w:rsid w:val="004D2A83"/>
    <w:rsid w:val="004D2B98"/>
    <w:rsid w:val="004D2C82"/>
    <w:rsid w:val="004D3232"/>
    <w:rsid w:val="004D3992"/>
    <w:rsid w:val="004D6222"/>
    <w:rsid w:val="004D78AC"/>
    <w:rsid w:val="004D79FF"/>
    <w:rsid w:val="004E1313"/>
    <w:rsid w:val="004E263C"/>
    <w:rsid w:val="004E2C58"/>
    <w:rsid w:val="004E38CE"/>
    <w:rsid w:val="004E4978"/>
    <w:rsid w:val="004E4CBA"/>
    <w:rsid w:val="004E519B"/>
    <w:rsid w:val="004E5297"/>
    <w:rsid w:val="004E553E"/>
    <w:rsid w:val="004E5B79"/>
    <w:rsid w:val="004E694F"/>
    <w:rsid w:val="004E6AF5"/>
    <w:rsid w:val="004E6B1D"/>
    <w:rsid w:val="004E7BCA"/>
    <w:rsid w:val="004E7CF3"/>
    <w:rsid w:val="004E7EB1"/>
    <w:rsid w:val="004F1864"/>
    <w:rsid w:val="004F36C8"/>
    <w:rsid w:val="004F3C50"/>
    <w:rsid w:val="004F3D43"/>
    <w:rsid w:val="004F4123"/>
    <w:rsid w:val="004F503E"/>
    <w:rsid w:val="004F5D4F"/>
    <w:rsid w:val="004F61A3"/>
    <w:rsid w:val="004F6C39"/>
    <w:rsid w:val="0050004A"/>
    <w:rsid w:val="00500618"/>
    <w:rsid w:val="00503C82"/>
    <w:rsid w:val="0050413F"/>
    <w:rsid w:val="005044B6"/>
    <w:rsid w:val="0050508C"/>
    <w:rsid w:val="005054F1"/>
    <w:rsid w:val="00505781"/>
    <w:rsid w:val="00505ACB"/>
    <w:rsid w:val="00505C98"/>
    <w:rsid w:val="005063F1"/>
    <w:rsid w:val="005064BF"/>
    <w:rsid w:val="00506606"/>
    <w:rsid w:val="00506E16"/>
    <w:rsid w:val="00506EAE"/>
    <w:rsid w:val="00507258"/>
    <w:rsid w:val="00507813"/>
    <w:rsid w:val="00507876"/>
    <w:rsid w:val="00507881"/>
    <w:rsid w:val="005116C6"/>
    <w:rsid w:val="00511BBE"/>
    <w:rsid w:val="00512778"/>
    <w:rsid w:val="00512FE4"/>
    <w:rsid w:val="00513A74"/>
    <w:rsid w:val="00513B62"/>
    <w:rsid w:val="005149EA"/>
    <w:rsid w:val="005152A6"/>
    <w:rsid w:val="00515687"/>
    <w:rsid w:val="00515D54"/>
    <w:rsid w:val="0051638F"/>
    <w:rsid w:val="00517BB9"/>
    <w:rsid w:val="005204E7"/>
    <w:rsid w:val="0052087C"/>
    <w:rsid w:val="00521010"/>
    <w:rsid w:val="0052188B"/>
    <w:rsid w:val="0052270E"/>
    <w:rsid w:val="00523C90"/>
    <w:rsid w:val="00524C9E"/>
    <w:rsid w:val="005250A3"/>
    <w:rsid w:val="00526BEB"/>
    <w:rsid w:val="00526FD9"/>
    <w:rsid w:val="00530FFF"/>
    <w:rsid w:val="005314CB"/>
    <w:rsid w:val="00532259"/>
    <w:rsid w:val="0053239E"/>
    <w:rsid w:val="00534115"/>
    <w:rsid w:val="00534805"/>
    <w:rsid w:val="00534A1A"/>
    <w:rsid w:val="00535D61"/>
    <w:rsid w:val="00536030"/>
    <w:rsid w:val="00536AD7"/>
    <w:rsid w:val="005375C1"/>
    <w:rsid w:val="00540C70"/>
    <w:rsid w:val="00541E87"/>
    <w:rsid w:val="00542559"/>
    <w:rsid w:val="0054361F"/>
    <w:rsid w:val="00543DE5"/>
    <w:rsid w:val="00544012"/>
    <w:rsid w:val="00544EFB"/>
    <w:rsid w:val="00545091"/>
    <w:rsid w:val="00545C64"/>
    <w:rsid w:val="00545D50"/>
    <w:rsid w:val="0054707E"/>
    <w:rsid w:val="0055001A"/>
    <w:rsid w:val="0055050A"/>
    <w:rsid w:val="00551436"/>
    <w:rsid w:val="005523AA"/>
    <w:rsid w:val="005523D6"/>
    <w:rsid w:val="0055280F"/>
    <w:rsid w:val="00553B7B"/>
    <w:rsid w:val="00553BA6"/>
    <w:rsid w:val="00553F23"/>
    <w:rsid w:val="005540D0"/>
    <w:rsid w:val="005557A6"/>
    <w:rsid w:val="005562D1"/>
    <w:rsid w:val="00556386"/>
    <w:rsid w:val="00556B88"/>
    <w:rsid w:val="005577D3"/>
    <w:rsid w:val="00560142"/>
    <w:rsid w:val="0056055D"/>
    <w:rsid w:val="00560870"/>
    <w:rsid w:val="00561552"/>
    <w:rsid w:val="005617F5"/>
    <w:rsid w:val="00561EA5"/>
    <w:rsid w:val="00562126"/>
    <w:rsid w:val="0056284F"/>
    <w:rsid w:val="00562884"/>
    <w:rsid w:val="00562C54"/>
    <w:rsid w:val="0056354F"/>
    <w:rsid w:val="00564892"/>
    <w:rsid w:val="00566714"/>
    <w:rsid w:val="00567349"/>
    <w:rsid w:val="00567D53"/>
    <w:rsid w:val="00567DFD"/>
    <w:rsid w:val="00567F14"/>
    <w:rsid w:val="005703EC"/>
    <w:rsid w:val="00570A6C"/>
    <w:rsid w:val="0057120A"/>
    <w:rsid w:val="005712C3"/>
    <w:rsid w:val="005718B5"/>
    <w:rsid w:val="00572556"/>
    <w:rsid w:val="00572A62"/>
    <w:rsid w:val="00573046"/>
    <w:rsid w:val="00573E2F"/>
    <w:rsid w:val="00573E77"/>
    <w:rsid w:val="00573FFD"/>
    <w:rsid w:val="005740EA"/>
    <w:rsid w:val="00575C3C"/>
    <w:rsid w:val="00575DA6"/>
    <w:rsid w:val="00576C3A"/>
    <w:rsid w:val="00576F17"/>
    <w:rsid w:val="005773C6"/>
    <w:rsid w:val="00577E77"/>
    <w:rsid w:val="00582215"/>
    <w:rsid w:val="0058344D"/>
    <w:rsid w:val="00584457"/>
    <w:rsid w:val="00584607"/>
    <w:rsid w:val="005856B7"/>
    <w:rsid w:val="005874C7"/>
    <w:rsid w:val="00587BBB"/>
    <w:rsid w:val="00590339"/>
    <w:rsid w:val="00591DB1"/>
    <w:rsid w:val="00592A6A"/>
    <w:rsid w:val="00592D27"/>
    <w:rsid w:val="00593096"/>
    <w:rsid w:val="0059327F"/>
    <w:rsid w:val="00593C4F"/>
    <w:rsid w:val="00594037"/>
    <w:rsid w:val="005955AF"/>
    <w:rsid w:val="00596996"/>
    <w:rsid w:val="00596C71"/>
    <w:rsid w:val="00597EBE"/>
    <w:rsid w:val="005A0A33"/>
    <w:rsid w:val="005A124C"/>
    <w:rsid w:val="005A213B"/>
    <w:rsid w:val="005A217B"/>
    <w:rsid w:val="005A2B8B"/>
    <w:rsid w:val="005A2EAA"/>
    <w:rsid w:val="005A31FB"/>
    <w:rsid w:val="005A3517"/>
    <w:rsid w:val="005A3CE0"/>
    <w:rsid w:val="005A3F5E"/>
    <w:rsid w:val="005A45A8"/>
    <w:rsid w:val="005A4DFE"/>
    <w:rsid w:val="005A6705"/>
    <w:rsid w:val="005B0089"/>
    <w:rsid w:val="005B021E"/>
    <w:rsid w:val="005B0522"/>
    <w:rsid w:val="005B0B3B"/>
    <w:rsid w:val="005B1350"/>
    <w:rsid w:val="005B1FDA"/>
    <w:rsid w:val="005B2300"/>
    <w:rsid w:val="005B28A1"/>
    <w:rsid w:val="005B2C89"/>
    <w:rsid w:val="005B3BEC"/>
    <w:rsid w:val="005B465D"/>
    <w:rsid w:val="005B5956"/>
    <w:rsid w:val="005B6838"/>
    <w:rsid w:val="005B6940"/>
    <w:rsid w:val="005B7A5E"/>
    <w:rsid w:val="005C0FD3"/>
    <w:rsid w:val="005C174C"/>
    <w:rsid w:val="005C2579"/>
    <w:rsid w:val="005C383E"/>
    <w:rsid w:val="005C4354"/>
    <w:rsid w:val="005C5169"/>
    <w:rsid w:val="005C5614"/>
    <w:rsid w:val="005C57D0"/>
    <w:rsid w:val="005C588B"/>
    <w:rsid w:val="005C62F3"/>
    <w:rsid w:val="005C6747"/>
    <w:rsid w:val="005D0208"/>
    <w:rsid w:val="005D0695"/>
    <w:rsid w:val="005D0C2C"/>
    <w:rsid w:val="005D28A8"/>
    <w:rsid w:val="005D3530"/>
    <w:rsid w:val="005D3831"/>
    <w:rsid w:val="005D391D"/>
    <w:rsid w:val="005D3D2C"/>
    <w:rsid w:val="005D4107"/>
    <w:rsid w:val="005D47F9"/>
    <w:rsid w:val="005D4F00"/>
    <w:rsid w:val="005D5A57"/>
    <w:rsid w:val="005D69F1"/>
    <w:rsid w:val="005D7CAB"/>
    <w:rsid w:val="005D7D9F"/>
    <w:rsid w:val="005D7FFE"/>
    <w:rsid w:val="005E05BB"/>
    <w:rsid w:val="005E0788"/>
    <w:rsid w:val="005E1575"/>
    <w:rsid w:val="005E1580"/>
    <w:rsid w:val="005E1FF9"/>
    <w:rsid w:val="005E3ACA"/>
    <w:rsid w:val="005E3FE8"/>
    <w:rsid w:val="005E4635"/>
    <w:rsid w:val="005E4AB0"/>
    <w:rsid w:val="005E4AB5"/>
    <w:rsid w:val="005E5726"/>
    <w:rsid w:val="005E6EBE"/>
    <w:rsid w:val="005E72B7"/>
    <w:rsid w:val="005E7521"/>
    <w:rsid w:val="005E77F0"/>
    <w:rsid w:val="005E787C"/>
    <w:rsid w:val="005E7B07"/>
    <w:rsid w:val="005F032B"/>
    <w:rsid w:val="005F07DE"/>
    <w:rsid w:val="005F1509"/>
    <w:rsid w:val="005F1730"/>
    <w:rsid w:val="005F1B4F"/>
    <w:rsid w:val="005F1C3E"/>
    <w:rsid w:val="005F41AE"/>
    <w:rsid w:val="005F4D03"/>
    <w:rsid w:val="005F4FA4"/>
    <w:rsid w:val="005F533C"/>
    <w:rsid w:val="005F639E"/>
    <w:rsid w:val="005F6CEA"/>
    <w:rsid w:val="005F715B"/>
    <w:rsid w:val="005F74FF"/>
    <w:rsid w:val="00600327"/>
    <w:rsid w:val="00600687"/>
    <w:rsid w:val="00604327"/>
    <w:rsid w:val="00604743"/>
    <w:rsid w:val="0060643A"/>
    <w:rsid w:val="00606A43"/>
    <w:rsid w:val="006103ED"/>
    <w:rsid w:val="00610A19"/>
    <w:rsid w:val="00611920"/>
    <w:rsid w:val="00611BF3"/>
    <w:rsid w:val="00612979"/>
    <w:rsid w:val="006136BD"/>
    <w:rsid w:val="00614181"/>
    <w:rsid w:val="00614987"/>
    <w:rsid w:val="00614E92"/>
    <w:rsid w:val="0061591B"/>
    <w:rsid w:val="00615AA5"/>
    <w:rsid w:val="00616821"/>
    <w:rsid w:val="006177C8"/>
    <w:rsid w:val="006178EE"/>
    <w:rsid w:val="00617B6D"/>
    <w:rsid w:val="0062001D"/>
    <w:rsid w:val="0062131B"/>
    <w:rsid w:val="006217AD"/>
    <w:rsid w:val="006220F5"/>
    <w:rsid w:val="00623BC2"/>
    <w:rsid w:val="006256FE"/>
    <w:rsid w:val="00625B30"/>
    <w:rsid w:val="00625B49"/>
    <w:rsid w:val="006268C5"/>
    <w:rsid w:val="00626A30"/>
    <w:rsid w:val="00626DD8"/>
    <w:rsid w:val="0063117D"/>
    <w:rsid w:val="00631495"/>
    <w:rsid w:val="00631717"/>
    <w:rsid w:val="00631C3C"/>
    <w:rsid w:val="0063239B"/>
    <w:rsid w:val="00633963"/>
    <w:rsid w:val="00634028"/>
    <w:rsid w:val="006345A3"/>
    <w:rsid w:val="00634648"/>
    <w:rsid w:val="0063485C"/>
    <w:rsid w:val="00634E93"/>
    <w:rsid w:val="00635140"/>
    <w:rsid w:val="0063518B"/>
    <w:rsid w:val="00635622"/>
    <w:rsid w:val="00635CD9"/>
    <w:rsid w:val="00635DF5"/>
    <w:rsid w:val="00636DCD"/>
    <w:rsid w:val="00637F1A"/>
    <w:rsid w:val="0064008F"/>
    <w:rsid w:val="006409F2"/>
    <w:rsid w:val="00640B5F"/>
    <w:rsid w:val="00640E3C"/>
    <w:rsid w:val="0064217F"/>
    <w:rsid w:val="006423F0"/>
    <w:rsid w:val="00642E42"/>
    <w:rsid w:val="00642FC4"/>
    <w:rsid w:val="006430FF"/>
    <w:rsid w:val="00644007"/>
    <w:rsid w:val="00644C5F"/>
    <w:rsid w:val="00644EC7"/>
    <w:rsid w:val="006466F0"/>
    <w:rsid w:val="00646867"/>
    <w:rsid w:val="00646F68"/>
    <w:rsid w:val="00647114"/>
    <w:rsid w:val="00647448"/>
    <w:rsid w:val="00650BF6"/>
    <w:rsid w:val="00650FB9"/>
    <w:rsid w:val="00651793"/>
    <w:rsid w:val="00651938"/>
    <w:rsid w:val="00652200"/>
    <w:rsid w:val="006531BB"/>
    <w:rsid w:val="00653486"/>
    <w:rsid w:val="00653A1A"/>
    <w:rsid w:val="0065404C"/>
    <w:rsid w:val="00654461"/>
    <w:rsid w:val="006555DB"/>
    <w:rsid w:val="006556D4"/>
    <w:rsid w:val="00656BB1"/>
    <w:rsid w:val="00657623"/>
    <w:rsid w:val="00657A4E"/>
    <w:rsid w:val="00657CE4"/>
    <w:rsid w:val="00660CA9"/>
    <w:rsid w:val="006626C9"/>
    <w:rsid w:val="006629A4"/>
    <w:rsid w:val="00663534"/>
    <w:rsid w:val="006637B6"/>
    <w:rsid w:val="0066429F"/>
    <w:rsid w:val="00664782"/>
    <w:rsid w:val="00664813"/>
    <w:rsid w:val="00664A36"/>
    <w:rsid w:val="00664E66"/>
    <w:rsid w:val="00664F62"/>
    <w:rsid w:val="006651EE"/>
    <w:rsid w:val="00665B72"/>
    <w:rsid w:val="00666028"/>
    <w:rsid w:val="00666F30"/>
    <w:rsid w:val="00667B54"/>
    <w:rsid w:val="00667B6C"/>
    <w:rsid w:val="00670829"/>
    <w:rsid w:val="00670F10"/>
    <w:rsid w:val="00670FC4"/>
    <w:rsid w:val="0067143D"/>
    <w:rsid w:val="0067178B"/>
    <w:rsid w:val="00674750"/>
    <w:rsid w:val="00674804"/>
    <w:rsid w:val="006752F3"/>
    <w:rsid w:val="006755CF"/>
    <w:rsid w:val="00676111"/>
    <w:rsid w:val="00676A5D"/>
    <w:rsid w:val="00677616"/>
    <w:rsid w:val="00681BE5"/>
    <w:rsid w:val="006827FA"/>
    <w:rsid w:val="00682B89"/>
    <w:rsid w:val="00683D87"/>
    <w:rsid w:val="00684FBB"/>
    <w:rsid w:val="0068545D"/>
    <w:rsid w:val="00685520"/>
    <w:rsid w:val="00685892"/>
    <w:rsid w:val="006859B3"/>
    <w:rsid w:val="00685A34"/>
    <w:rsid w:val="00685C8C"/>
    <w:rsid w:val="0068631C"/>
    <w:rsid w:val="006874F9"/>
    <w:rsid w:val="00690148"/>
    <w:rsid w:val="0069062D"/>
    <w:rsid w:val="006908B0"/>
    <w:rsid w:val="006909E7"/>
    <w:rsid w:val="00690D0D"/>
    <w:rsid w:val="00691BB8"/>
    <w:rsid w:val="0069367A"/>
    <w:rsid w:val="006937CC"/>
    <w:rsid w:val="00693820"/>
    <w:rsid w:val="00693884"/>
    <w:rsid w:val="00693A8D"/>
    <w:rsid w:val="00693E19"/>
    <w:rsid w:val="00693FCC"/>
    <w:rsid w:val="00694C47"/>
    <w:rsid w:val="00695159"/>
    <w:rsid w:val="00695303"/>
    <w:rsid w:val="00695504"/>
    <w:rsid w:val="006971C6"/>
    <w:rsid w:val="006A0581"/>
    <w:rsid w:val="006A0C1F"/>
    <w:rsid w:val="006A1A6E"/>
    <w:rsid w:val="006A354A"/>
    <w:rsid w:val="006A3A3C"/>
    <w:rsid w:val="006A46D4"/>
    <w:rsid w:val="006A5721"/>
    <w:rsid w:val="006A5C36"/>
    <w:rsid w:val="006A5D91"/>
    <w:rsid w:val="006A6AD6"/>
    <w:rsid w:val="006A6B12"/>
    <w:rsid w:val="006A7701"/>
    <w:rsid w:val="006A772E"/>
    <w:rsid w:val="006B0258"/>
    <w:rsid w:val="006B0399"/>
    <w:rsid w:val="006B053F"/>
    <w:rsid w:val="006B0BA8"/>
    <w:rsid w:val="006B1518"/>
    <w:rsid w:val="006B2522"/>
    <w:rsid w:val="006B309E"/>
    <w:rsid w:val="006B356F"/>
    <w:rsid w:val="006B474C"/>
    <w:rsid w:val="006B5662"/>
    <w:rsid w:val="006B6F48"/>
    <w:rsid w:val="006B71E3"/>
    <w:rsid w:val="006C043E"/>
    <w:rsid w:val="006C13C9"/>
    <w:rsid w:val="006C2CE8"/>
    <w:rsid w:val="006C33C4"/>
    <w:rsid w:val="006C4804"/>
    <w:rsid w:val="006C5AD5"/>
    <w:rsid w:val="006C5F46"/>
    <w:rsid w:val="006C690E"/>
    <w:rsid w:val="006D138C"/>
    <w:rsid w:val="006D1AD6"/>
    <w:rsid w:val="006D2C07"/>
    <w:rsid w:val="006D31B9"/>
    <w:rsid w:val="006D592A"/>
    <w:rsid w:val="006D5D3C"/>
    <w:rsid w:val="006D607F"/>
    <w:rsid w:val="006D7465"/>
    <w:rsid w:val="006D74C6"/>
    <w:rsid w:val="006D7A57"/>
    <w:rsid w:val="006D7A85"/>
    <w:rsid w:val="006E046D"/>
    <w:rsid w:val="006E0C09"/>
    <w:rsid w:val="006E0E42"/>
    <w:rsid w:val="006E1429"/>
    <w:rsid w:val="006E1E1E"/>
    <w:rsid w:val="006E1E4D"/>
    <w:rsid w:val="006E24F0"/>
    <w:rsid w:val="006E2B60"/>
    <w:rsid w:val="006E3830"/>
    <w:rsid w:val="006E3E34"/>
    <w:rsid w:val="006E40B1"/>
    <w:rsid w:val="006E4790"/>
    <w:rsid w:val="006E49C9"/>
    <w:rsid w:val="006E61CB"/>
    <w:rsid w:val="006E6218"/>
    <w:rsid w:val="006E67D0"/>
    <w:rsid w:val="006E6F0A"/>
    <w:rsid w:val="006E76F6"/>
    <w:rsid w:val="006E7F61"/>
    <w:rsid w:val="006F0327"/>
    <w:rsid w:val="006F099C"/>
    <w:rsid w:val="006F27AA"/>
    <w:rsid w:val="006F393C"/>
    <w:rsid w:val="006F39E0"/>
    <w:rsid w:val="006F4075"/>
    <w:rsid w:val="006F4A39"/>
    <w:rsid w:val="006F52B8"/>
    <w:rsid w:val="006F5D48"/>
    <w:rsid w:val="006F606F"/>
    <w:rsid w:val="006F75C2"/>
    <w:rsid w:val="006F79A6"/>
    <w:rsid w:val="00700E43"/>
    <w:rsid w:val="00701901"/>
    <w:rsid w:val="00701B04"/>
    <w:rsid w:val="007023D8"/>
    <w:rsid w:val="0070275F"/>
    <w:rsid w:val="0070284A"/>
    <w:rsid w:val="00702FAE"/>
    <w:rsid w:val="007032F1"/>
    <w:rsid w:val="0070388A"/>
    <w:rsid w:val="0070422E"/>
    <w:rsid w:val="00704C1B"/>
    <w:rsid w:val="00705DE9"/>
    <w:rsid w:val="00705E86"/>
    <w:rsid w:val="007062B2"/>
    <w:rsid w:val="0070709E"/>
    <w:rsid w:val="00707411"/>
    <w:rsid w:val="007076E1"/>
    <w:rsid w:val="007077B7"/>
    <w:rsid w:val="00710D29"/>
    <w:rsid w:val="007110D3"/>
    <w:rsid w:val="007115BC"/>
    <w:rsid w:val="0071190D"/>
    <w:rsid w:val="007119C0"/>
    <w:rsid w:val="0071351E"/>
    <w:rsid w:val="00714822"/>
    <w:rsid w:val="00715B21"/>
    <w:rsid w:val="00716071"/>
    <w:rsid w:val="0071684A"/>
    <w:rsid w:val="00717919"/>
    <w:rsid w:val="00717DE7"/>
    <w:rsid w:val="00717FE4"/>
    <w:rsid w:val="00720CD8"/>
    <w:rsid w:val="00721321"/>
    <w:rsid w:val="00721E9A"/>
    <w:rsid w:val="00722ABD"/>
    <w:rsid w:val="0072384B"/>
    <w:rsid w:val="007249C1"/>
    <w:rsid w:val="00724B02"/>
    <w:rsid w:val="007257B0"/>
    <w:rsid w:val="00725CDC"/>
    <w:rsid w:val="00726816"/>
    <w:rsid w:val="00726842"/>
    <w:rsid w:val="00726AA9"/>
    <w:rsid w:val="00727261"/>
    <w:rsid w:val="00730074"/>
    <w:rsid w:val="00730AFF"/>
    <w:rsid w:val="00731252"/>
    <w:rsid w:val="00731B9C"/>
    <w:rsid w:val="00733DC7"/>
    <w:rsid w:val="00734232"/>
    <w:rsid w:val="007363D0"/>
    <w:rsid w:val="007363E9"/>
    <w:rsid w:val="00736794"/>
    <w:rsid w:val="007371CA"/>
    <w:rsid w:val="007375E5"/>
    <w:rsid w:val="00737ADE"/>
    <w:rsid w:val="00741241"/>
    <w:rsid w:val="00741C13"/>
    <w:rsid w:val="00741D3B"/>
    <w:rsid w:val="00743A8A"/>
    <w:rsid w:val="00743A98"/>
    <w:rsid w:val="00743E21"/>
    <w:rsid w:val="00743E7E"/>
    <w:rsid w:val="00744875"/>
    <w:rsid w:val="00744CF9"/>
    <w:rsid w:val="00745685"/>
    <w:rsid w:val="0074595C"/>
    <w:rsid w:val="00746092"/>
    <w:rsid w:val="00746D63"/>
    <w:rsid w:val="007474A6"/>
    <w:rsid w:val="00747BAB"/>
    <w:rsid w:val="007502EF"/>
    <w:rsid w:val="0075048E"/>
    <w:rsid w:val="007526B3"/>
    <w:rsid w:val="00752F92"/>
    <w:rsid w:val="007531BB"/>
    <w:rsid w:val="0075336B"/>
    <w:rsid w:val="007542F3"/>
    <w:rsid w:val="0075448C"/>
    <w:rsid w:val="00755A95"/>
    <w:rsid w:val="007568F5"/>
    <w:rsid w:val="00756BCD"/>
    <w:rsid w:val="00756CAA"/>
    <w:rsid w:val="00760E0C"/>
    <w:rsid w:val="00760E83"/>
    <w:rsid w:val="00761A7F"/>
    <w:rsid w:val="0076235A"/>
    <w:rsid w:val="007627BE"/>
    <w:rsid w:val="00763549"/>
    <w:rsid w:val="00764099"/>
    <w:rsid w:val="00764336"/>
    <w:rsid w:val="00764A51"/>
    <w:rsid w:val="00765644"/>
    <w:rsid w:val="00765B54"/>
    <w:rsid w:val="007664D1"/>
    <w:rsid w:val="007667F0"/>
    <w:rsid w:val="007679A2"/>
    <w:rsid w:val="00767C73"/>
    <w:rsid w:val="00771BB0"/>
    <w:rsid w:val="007725DB"/>
    <w:rsid w:val="00772E20"/>
    <w:rsid w:val="00772F88"/>
    <w:rsid w:val="007734A4"/>
    <w:rsid w:val="0077400C"/>
    <w:rsid w:val="00774207"/>
    <w:rsid w:val="00774339"/>
    <w:rsid w:val="00775709"/>
    <w:rsid w:val="00775887"/>
    <w:rsid w:val="00776D7D"/>
    <w:rsid w:val="007771FD"/>
    <w:rsid w:val="0077731B"/>
    <w:rsid w:val="007775E0"/>
    <w:rsid w:val="00777AA1"/>
    <w:rsid w:val="00780788"/>
    <w:rsid w:val="00780A66"/>
    <w:rsid w:val="00780B3D"/>
    <w:rsid w:val="00780B60"/>
    <w:rsid w:val="00780BF9"/>
    <w:rsid w:val="00781C0C"/>
    <w:rsid w:val="0078423B"/>
    <w:rsid w:val="007843E4"/>
    <w:rsid w:val="00784774"/>
    <w:rsid w:val="00784836"/>
    <w:rsid w:val="00784AD1"/>
    <w:rsid w:val="00784DA0"/>
    <w:rsid w:val="00784E73"/>
    <w:rsid w:val="007863A0"/>
    <w:rsid w:val="00787066"/>
    <w:rsid w:val="00787C76"/>
    <w:rsid w:val="00787DA7"/>
    <w:rsid w:val="00790229"/>
    <w:rsid w:val="007903B2"/>
    <w:rsid w:val="00790E7E"/>
    <w:rsid w:val="007918D1"/>
    <w:rsid w:val="00791A76"/>
    <w:rsid w:val="00791B7B"/>
    <w:rsid w:val="00792073"/>
    <w:rsid w:val="00793451"/>
    <w:rsid w:val="00793475"/>
    <w:rsid w:val="00793E9F"/>
    <w:rsid w:val="00794160"/>
    <w:rsid w:val="00794BFB"/>
    <w:rsid w:val="00794CF9"/>
    <w:rsid w:val="00796BD1"/>
    <w:rsid w:val="007A05AB"/>
    <w:rsid w:val="007A069F"/>
    <w:rsid w:val="007A0B53"/>
    <w:rsid w:val="007A14F3"/>
    <w:rsid w:val="007A15CD"/>
    <w:rsid w:val="007A2135"/>
    <w:rsid w:val="007A28E3"/>
    <w:rsid w:val="007A3B60"/>
    <w:rsid w:val="007A3FC5"/>
    <w:rsid w:val="007A5B2F"/>
    <w:rsid w:val="007A5F06"/>
    <w:rsid w:val="007A6B74"/>
    <w:rsid w:val="007A7B5A"/>
    <w:rsid w:val="007A7E02"/>
    <w:rsid w:val="007B0375"/>
    <w:rsid w:val="007B09BC"/>
    <w:rsid w:val="007B0E98"/>
    <w:rsid w:val="007B12CB"/>
    <w:rsid w:val="007B12E7"/>
    <w:rsid w:val="007B19CC"/>
    <w:rsid w:val="007B214D"/>
    <w:rsid w:val="007B21EC"/>
    <w:rsid w:val="007B2542"/>
    <w:rsid w:val="007B35A5"/>
    <w:rsid w:val="007B3BD2"/>
    <w:rsid w:val="007B5000"/>
    <w:rsid w:val="007B55E1"/>
    <w:rsid w:val="007B5CAA"/>
    <w:rsid w:val="007B693F"/>
    <w:rsid w:val="007B6B05"/>
    <w:rsid w:val="007B6FDE"/>
    <w:rsid w:val="007B7C63"/>
    <w:rsid w:val="007B7EAE"/>
    <w:rsid w:val="007C0B18"/>
    <w:rsid w:val="007C0C65"/>
    <w:rsid w:val="007C0E87"/>
    <w:rsid w:val="007C273A"/>
    <w:rsid w:val="007C2FDC"/>
    <w:rsid w:val="007C34B1"/>
    <w:rsid w:val="007C47C5"/>
    <w:rsid w:val="007C4F3B"/>
    <w:rsid w:val="007C50C9"/>
    <w:rsid w:val="007C5FEE"/>
    <w:rsid w:val="007C6C76"/>
    <w:rsid w:val="007C7E41"/>
    <w:rsid w:val="007D0265"/>
    <w:rsid w:val="007D02F4"/>
    <w:rsid w:val="007D0D8D"/>
    <w:rsid w:val="007D0DDA"/>
    <w:rsid w:val="007D20A9"/>
    <w:rsid w:val="007D20BC"/>
    <w:rsid w:val="007D2E8E"/>
    <w:rsid w:val="007D332D"/>
    <w:rsid w:val="007D59CD"/>
    <w:rsid w:val="007D6895"/>
    <w:rsid w:val="007D692E"/>
    <w:rsid w:val="007E01E8"/>
    <w:rsid w:val="007E04F9"/>
    <w:rsid w:val="007E058D"/>
    <w:rsid w:val="007E0744"/>
    <w:rsid w:val="007E131C"/>
    <w:rsid w:val="007E1BA4"/>
    <w:rsid w:val="007E2195"/>
    <w:rsid w:val="007E241B"/>
    <w:rsid w:val="007E272C"/>
    <w:rsid w:val="007E2907"/>
    <w:rsid w:val="007E3FEE"/>
    <w:rsid w:val="007E471F"/>
    <w:rsid w:val="007E4ACC"/>
    <w:rsid w:val="007E4E66"/>
    <w:rsid w:val="007E4EF9"/>
    <w:rsid w:val="007E5684"/>
    <w:rsid w:val="007E5C99"/>
    <w:rsid w:val="007E5CCF"/>
    <w:rsid w:val="007E5E03"/>
    <w:rsid w:val="007E6108"/>
    <w:rsid w:val="007E6686"/>
    <w:rsid w:val="007E6A11"/>
    <w:rsid w:val="007E6A9A"/>
    <w:rsid w:val="007E71A1"/>
    <w:rsid w:val="007E75F3"/>
    <w:rsid w:val="007E7897"/>
    <w:rsid w:val="007F0848"/>
    <w:rsid w:val="007F0F07"/>
    <w:rsid w:val="007F14FD"/>
    <w:rsid w:val="007F1EF5"/>
    <w:rsid w:val="007F1F28"/>
    <w:rsid w:val="007F22B3"/>
    <w:rsid w:val="007F3176"/>
    <w:rsid w:val="007F3768"/>
    <w:rsid w:val="007F399D"/>
    <w:rsid w:val="007F405C"/>
    <w:rsid w:val="007F44A1"/>
    <w:rsid w:val="007F490B"/>
    <w:rsid w:val="007F49E9"/>
    <w:rsid w:val="007F5932"/>
    <w:rsid w:val="007F6E2E"/>
    <w:rsid w:val="007F76BC"/>
    <w:rsid w:val="007F7F28"/>
    <w:rsid w:val="0080012C"/>
    <w:rsid w:val="008008E4"/>
    <w:rsid w:val="00800EA5"/>
    <w:rsid w:val="008025D9"/>
    <w:rsid w:val="00803194"/>
    <w:rsid w:val="00803BA5"/>
    <w:rsid w:val="008043ED"/>
    <w:rsid w:val="008047ED"/>
    <w:rsid w:val="00804DD3"/>
    <w:rsid w:val="0080556E"/>
    <w:rsid w:val="008055F8"/>
    <w:rsid w:val="00805EB5"/>
    <w:rsid w:val="00805F27"/>
    <w:rsid w:val="0080647F"/>
    <w:rsid w:val="00807352"/>
    <w:rsid w:val="008076A2"/>
    <w:rsid w:val="00807ABB"/>
    <w:rsid w:val="0081002E"/>
    <w:rsid w:val="0081010D"/>
    <w:rsid w:val="0081026E"/>
    <w:rsid w:val="008102A0"/>
    <w:rsid w:val="0081085C"/>
    <w:rsid w:val="0081120C"/>
    <w:rsid w:val="00812D7F"/>
    <w:rsid w:val="00813356"/>
    <w:rsid w:val="00813A81"/>
    <w:rsid w:val="00814D96"/>
    <w:rsid w:val="00815270"/>
    <w:rsid w:val="00815D82"/>
    <w:rsid w:val="00817FD6"/>
    <w:rsid w:val="008202D3"/>
    <w:rsid w:val="0082048F"/>
    <w:rsid w:val="00820622"/>
    <w:rsid w:val="00820CEC"/>
    <w:rsid w:val="00820DB2"/>
    <w:rsid w:val="008213AE"/>
    <w:rsid w:val="00822C74"/>
    <w:rsid w:val="00822D5B"/>
    <w:rsid w:val="00823090"/>
    <w:rsid w:val="0082460C"/>
    <w:rsid w:val="00824CF5"/>
    <w:rsid w:val="00825202"/>
    <w:rsid w:val="00826C1C"/>
    <w:rsid w:val="00826F0D"/>
    <w:rsid w:val="00827C1C"/>
    <w:rsid w:val="00827ED6"/>
    <w:rsid w:val="0083095E"/>
    <w:rsid w:val="00831116"/>
    <w:rsid w:val="008315F0"/>
    <w:rsid w:val="0083181C"/>
    <w:rsid w:val="00831A64"/>
    <w:rsid w:val="00831B76"/>
    <w:rsid w:val="0083285C"/>
    <w:rsid w:val="00832918"/>
    <w:rsid w:val="00832B1D"/>
    <w:rsid w:val="0083318F"/>
    <w:rsid w:val="00833473"/>
    <w:rsid w:val="0083393B"/>
    <w:rsid w:val="00833F1F"/>
    <w:rsid w:val="008347DB"/>
    <w:rsid w:val="008350C2"/>
    <w:rsid w:val="008357BE"/>
    <w:rsid w:val="00835EC6"/>
    <w:rsid w:val="008363E1"/>
    <w:rsid w:val="008368B7"/>
    <w:rsid w:val="008371E0"/>
    <w:rsid w:val="00840A73"/>
    <w:rsid w:val="00841568"/>
    <w:rsid w:val="008415DF"/>
    <w:rsid w:val="00841EA3"/>
    <w:rsid w:val="00842A69"/>
    <w:rsid w:val="00843092"/>
    <w:rsid w:val="00843596"/>
    <w:rsid w:val="00844051"/>
    <w:rsid w:val="0084517F"/>
    <w:rsid w:val="00845795"/>
    <w:rsid w:val="00845BF9"/>
    <w:rsid w:val="008461B3"/>
    <w:rsid w:val="0084672E"/>
    <w:rsid w:val="00847D17"/>
    <w:rsid w:val="008501AF"/>
    <w:rsid w:val="0085051D"/>
    <w:rsid w:val="00850825"/>
    <w:rsid w:val="00851502"/>
    <w:rsid w:val="00851A15"/>
    <w:rsid w:val="00852010"/>
    <w:rsid w:val="008524E2"/>
    <w:rsid w:val="00852C71"/>
    <w:rsid w:val="00852C91"/>
    <w:rsid w:val="00853B7F"/>
    <w:rsid w:val="00853D64"/>
    <w:rsid w:val="0085473B"/>
    <w:rsid w:val="00854F51"/>
    <w:rsid w:val="008557F1"/>
    <w:rsid w:val="00855808"/>
    <w:rsid w:val="00856D03"/>
    <w:rsid w:val="00857376"/>
    <w:rsid w:val="0085769F"/>
    <w:rsid w:val="00857850"/>
    <w:rsid w:val="00860271"/>
    <w:rsid w:val="008632B8"/>
    <w:rsid w:val="00864375"/>
    <w:rsid w:val="008645AF"/>
    <w:rsid w:val="00864A50"/>
    <w:rsid w:val="00865B9C"/>
    <w:rsid w:val="00866283"/>
    <w:rsid w:val="008672A6"/>
    <w:rsid w:val="00867777"/>
    <w:rsid w:val="00870C37"/>
    <w:rsid w:val="008712BB"/>
    <w:rsid w:val="0087147C"/>
    <w:rsid w:val="00871967"/>
    <w:rsid w:val="0087212B"/>
    <w:rsid w:val="008727FE"/>
    <w:rsid w:val="00872BBC"/>
    <w:rsid w:val="0087308D"/>
    <w:rsid w:val="008733D9"/>
    <w:rsid w:val="00873AA0"/>
    <w:rsid w:val="00876B98"/>
    <w:rsid w:val="00876BA4"/>
    <w:rsid w:val="0087723F"/>
    <w:rsid w:val="008779A3"/>
    <w:rsid w:val="00880378"/>
    <w:rsid w:val="008808D0"/>
    <w:rsid w:val="00880F94"/>
    <w:rsid w:val="008810AE"/>
    <w:rsid w:val="00883FEF"/>
    <w:rsid w:val="008846C2"/>
    <w:rsid w:val="00885279"/>
    <w:rsid w:val="00885CB2"/>
    <w:rsid w:val="008862AA"/>
    <w:rsid w:val="00890101"/>
    <w:rsid w:val="00890163"/>
    <w:rsid w:val="00890503"/>
    <w:rsid w:val="00891A2C"/>
    <w:rsid w:val="00891CC2"/>
    <w:rsid w:val="00891CE1"/>
    <w:rsid w:val="008922D5"/>
    <w:rsid w:val="0089416B"/>
    <w:rsid w:val="008949C7"/>
    <w:rsid w:val="0089571C"/>
    <w:rsid w:val="0089583B"/>
    <w:rsid w:val="00895C5B"/>
    <w:rsid w:val="008975FA"/>
    <w:rsid w:val="008979C3"/>
    <w:rsid w:val="00897E43"/>
    <w:rsid w:val="00897F90"/>
    <w:rsid w:val="008A0AB1"/>
    <w:rsid w:val="008A10CC"/>
    <w:rsid w:val="008A1782"/>
    <w:rsid w:val="008A19AB"/>
    <w:rsid w:val="008A1D45"/>
    <w:rsid w:val="008A2933"/>
    <w:rsid w:val="008A3134"/>
    <w:rsid w:val="008A4B0A"/>
    <w:rsid w:val="008A591D"/>
    <w:rsid w:val="008A6068"/>
    <w:rsid w:val="008A6C78"/>
    <w:rsid w:val="008A6EB7"/>
    <w:rsid w:val="008A767D"/>
    <w:rsid w:val="008B0307"/>
    <w:rsid w:val="008B0A3D"/>
    <w:rsid w:val="008B1001"/>
    <w:rsid w:val="008B1161"/>
    <w:rsid w:val="008B1555"/>
    <w:rsid w:val="008B1971"/>
    <w:rsid w:val="008B207D"/>
    <w:rsid w:val="008B2B2C"/>
    <w:rsid w:val="008B2C82"/>
    <w:rsid w:val="008B3884"/>
    <w:rsid w:val="008B3BB0"/>
    <w:rsid w:val="008B45A1"/>
    <w:rsid w:val="008B4A14"/>
    <w:rsid w:val="008B4F30"/>
    <w:rsid w:val="008B5BF9"/>
    <w:rsid w:val="008B5CEA"/>
    <w:rsid w:val="008B5F5B"/>
    <w:rsid w:val="008B72BB"/>
    <w:rsid w:val="008C05B8"/>
    <w:rsid w:val="008C1FFB"/>
    <w:rsid w:val="008C33DF"/>
    <w:rsid w:val="008C3A91"/>
    <w:rsid w:val="008C3F58"/>
    <w:rsid w:val="008C44FF"/>
    <w:rsid w:val="008C52F0"/>
    <w:rsid w:val="008C5627"/>
    <w:rsid w:val="008C57C9"/>
    <w:rsid w:val="008C680D"/>
    <w:rsid w:val="008C72EC"/>
    <w:rsid w:val="008D02A1"/>
    <w:rsid w:val="008D0459"/>
    <w:rsid w:val="008D0461"/>
    <w:rsid w:val="008D06FB"/>
    <w:rsid w:val="008D070F"/>
    <w:rsid w:val="008D15BB"/>
    <w:rsid w:val="008D2073"/>
    <w:rsid w:val="008D2941"/>
    <w:rsid w:val="008D2F3C"/>
    <w:rsid w:val="008D34ED"/>
    <w:rsid w:val="008D4641"/>
    <w:rsid w:val="008D490F"/>
    <w:rsid w:val="008D4B8E"/>
    <w:rsid w:val="008D538E"/>
    <w:rsid w:val="008D597D"/>
    <w:rsid w:val="008D6225"/>
    <w:rsid w:val="008D6DC0"/>
    <w:rsid w:val="008D74D0"/>
    <w:rsid w:val="008D7BDC"/>
    <w:rsid w:val="008E036C"/>
    <w:rsid w:val="008E0D7A"/>
    <w:rsid w:val="008E0E4B"/>
    <w:rsid w:val="008E1AE7"/>
    <w:rsid w:val="008E2D10"/>
    <w:rsid w:val="008E4029"/>
    <w:rsid w:val="008E45F5"/>
    <w:rsid w:val="008E4812"/>
    <w:rsid w:val="008E4949"/>
    <w:rsid w:val="008E5A2F"/>
    <w:rsid w:val="008E5DF9"/>
    <w:rsid w:val="008E6E88"/>
    <w:rsid w:val="008F0D4F"/>
    <w:rsid w:val="008F1C75"/>
    <w:rsid w:val="008F218E"/>
    <w:rsid w:val="008F2256"/>
    <w:rsid w:val="008F2730"/>
    <w:rsid w:val="008F3555"/>
    <w:rsid w:val="008F45AB"/>
    <w:rsid w:val="008F4663"/>
    <w:rsid w:val="008F5556"/>
    <w:rsid w:val="008F55E6"/>
    <w:rsid w:val="008F563B"/>
    <w:rsid w:val="008F73DE"/>
    <w:rsid w:val="008F753E"/>
    <w:rsid w:val="00900943"/>
    <w:rsid w:val="00901AB5"/>
    <w:rsid w:val="00901CE3"/>
    <w:rsid w:val="00901D8B"/>
    <w:rsid w:val="009020A3"/>
    <w:rsid w:val="00902AB2"/>
    <w:rsid w:val="00903373"/>
    <w:rsid w:val="00903F61"/>
    <w:rsid w:val="00904847"/>
    <w:rsid w:val="00904C99"/>
    <w:rsid w:val="009076D5"/>
    <w:rsid w:val="00907BAB"/>
    <w:rsid w:val="00907F05"/>
    <w:rsid w:val="009109F1"/>
    <w:rsid w:val="00910DE9"/>
    <w:rsid w:val="0091237F"/>
    <w:rsid w:val="00912607"/>
    <w:rsid w:val="00913002"/>
    <w:rsid w:val="00913062"/>
    <w:rsid w:val="00914266"/>
    <w:rsid w:val="00914D6A"/>
    <w:rsid w:val="00915622"/>
    <w:rsid w:val="00915AFD"/>
    <w:rsid w:val="00915D41"/>
    <w:rsid w:val="0091602B"/>
    <w:rsid w:val="00916BAE"/>
    <w:rsid w:val="0092041A"/>
    <w:rsid w:val="00920BF8"/>
    <w:rsid w:val="00923C92"/>
    <w:rsid w:val="00923EFF"/>
    <w:rsid w:val="00924120"/>
    <w:rsid w:val="00924263"/>
    <w:rsid w:val="0092428D"/>
    <w:rsid w:val="009248E7"/>
    <w:rsid w:val="009252CF"/>
    <w:rsid w:val="00925ACE"/>
    <w:rsid w:val="009266CE"/>
    <w:rsid w:val="009268DD"/>
    <w:rsid w:val="0092787F"/>
    <w:rsid w:val="009279A6"/>
    <w:rsid w:val="00927A04"/>
    <w:rsid w:val="00930282"/>
    <w:rsid w:val="00930BA7"/>
    <w:rsid w:val="00930D42"/>
    <w:rsid w:val="00931DF9"/>
    <w:rsid w:val="00932D17"/>
    <w:rsid w:val="00932E39"/>
    <w:rsid w:val="009332AE"/>
    <w:rsid w:val="0093353D"/>
    <w:rsid w:val="00933F1C"/>
    <w:rsid w:val="00934A6D"/>
    <w:rsid w:val="00935B2A"/>
    <w:rsid w:val="00936C32"/>
    <w:rsid w:val="00936D69"/>
    <w:rsid w:val="00937BF9"/>
    <w:rsid w:val="009410BB"/>
    <w:rsid w:val="00941D9F"/>
    <w:rsid w:val="009421B6"/>
    <w:rsid w:val="009428D3"/>
    <w:rsid w:val="009436F8"/>
    <w:rsid w:val="0094373F"/>
    <w:rsid w:val="0094383D"/>
    <w:rsid w:val="00943CC0"/>
    <w:rsid w:val="0094459E"/>
    <w:rsid w:val="0094627B"/>
    <w:rsid w:val="00946893"/>
    <w:rsid w:val="00947D4F"/>
    <w:rsid w:val="00950666"/>
    <w:rsid w:val="00950773"/>
    <w:rsid w:val="00950918"/>
    <w:rsid w:val="00951310"/>
    <w:rsid w:val="009521BF"/>
    <w:rsid w:val="00952AAA"/>
    <w:rsid w:val="00952F7D"/>
    <w:rsid w:val="009532E6"/>
    <w:rsid w:val="00953835"/>
    <w:rsid w:val="00953ECB"/>
    <w:rsid w:val="00953EE0"/>
    <w:rsid w:val="00953F91"/>
    <w:rsid w:val="00955B88"/>
    <w:rsid w:val="00955DB0"/>
    <w:rsid w:val="00955FC1"/>
    <w:rsid w:val="00956B20"/>
    <w:rsid w:val="00957197"/>
    <w:rsid w:val="00957B32"/>
    <w:rsid w:val="00960475"/>
    <w:rsid w:val="0096072B"/>
    <w:rsid w:val="00961F65"/>
    <w:rsid w:val="00962BC8"/>
    <w:rsid w:val="00962C03"/>
    <w:rsid w:val="00962C29"/>
    <w:rsid w:val="00962F43"/>
    <w:rsid w:val="009630BD"/>
    <w:rsid w:val="00963645"/>
    <w:rsid w:val="00963F1E"/>
    <w:rsid w:val="009645F7"/>
    <w:rsid w:val="00964D41"/>
    <w:rsid w:val="009652A0"/>
    <w:rsid w:val="00965636"/>
    <w:rsid w:val="00965B5C"/>
    <w:rsid w:val="00966505"/>
    <w:rsid w:val="00967A78"/>
    <w:rsid w:val="00970A77"/>
    <w:rsid w:val="00971659"/>
    <w:rsid w:val="00971949"/>
    <w:rsid w:val="00972508"/>
    <w:rsid w:val="00972B42"/>
    <w:rsid w:val="00972E7F"/>
    <w:rsid w:val="00973001"/>
    <w:rsid w:val="00973DB5"/>
    <w:rsid w:val="00975462"/>
    <w:rsid w:val="00976A6C"/>
    <w:rsid w:val="00976BE8"/>
    <w:rsid w:val="00977A91"/>
    <w:rsid w:val="0098052C"/>
    <w:rsid w:val="00980854"/>
    <w:rsid w:val="0098164F"/>
    <w:rsid w:val="00982BC4"/>
    <w:rsid w:val="009833A7"/>
    <w:rsid w:val="009836AF"/>
    <w:rsid w:val="00983FAD"/>
    <w:rsid w:val="009859D7"/>
    <w:rsid w:val="00987689"/>
    <w:rsid w:val="0099017F"/>
    <w:rsid w:val="009901F8"/>
    <w:rsid w:val="0099058B"/>
    <w:rsid w:val="009906C3"/>
    <w:rsid w:val="0099097B"/>
    <w:rsid w:val="00990CFB"/>
    <w:rsid w:val="00991EC1"/>
    <w:rsid w:val="00992C64"/>
    <w:rsid w:val="00993045"/>
    <w:rsid w:val="009933C5"/>
    <w:rsid w:val="00993436"/>
    <w:rsid w:val="00993661"/>
    <w:rsid w:val="009939D3"/>
    <w:rsid w:val="00994A17"/>
    <w:rsid w:val="009956EE"/>
    <w:rsid w:val="00995806"/>
    <w:rsid w:val="009958E1"/>
    <w:rsid w:val="00995B54"/>
    <w:rsid w:val="009963A9"/>
    <w:rsid w:val="00997A41"/>
    <w:rsid w:val="00997D50"/>
    <w:rsid w:val="009A0208"/>
    <w:rsid w:val="009A065F"/>
    <w:rsid w:val="009A097D"/>
    <w:rsid w:val="009A3282"/>
    <w:rsid w:val="009A3E6D"/>
    <w:rsid w:val="009A40FD"/>
    <w:rsid w:val="009A41D3"/>
    <w:rsid w:val="009A4D79"/>
    <w:rsid w:val="009A57F0"/>
    <w:rsid w:val="009A5C21"/>
    <w:rsid w:val="009A7FEF"/>
    <w:rsid w:val="009B0033"/>
    <w:rsid w:val="009B02AB"/>
    <w:rsid w:val="009B0527"/>
    <w:rsid w:val="009B112C"/>
    <w:rsid w:val="009B13C4"/>
    <w:rsid w:val="009B255A"/>
    <w:rsid w:val="009B2AA8"/>
    <w:rsid w:val="009B33DE"/>
    <w:rsid w:val="009B4484"/>
    <w:rsid w:val="009B4E49"/>
    <w:rsid w:val="009B5059"/>
    <w:rsid w:val="009B5945"/>
    <w:rsid w:val="009B5DD5"/>
    <w:rsid w:val="009B5F28"/>
    <w:rsid w:val="009B6214"/>
    <w:rsid w:val="009B719E"/>
    <w:rsid w:val="009B734F"/>
    <w:rsid w:val="009B7435"/>
    <w:rsid w:val="009B758A"/>
    <w:rsid w:val="009B7743"/>
    <w:rsid w:val="009B780E"/>
    <w:rsid w:val="009C0A99"/>
    <w:rsid w:val="009C119E"/>
    <w:rsid w:val="009C1274"/>
    <w:rsid w:val="009C1373"/>
    <w:rsid w:val="009C138D"/>
    <w:rsid w:val="009C15CD"/>
    <w:rsid w:val="009C1F76"/>
    <w:rsid w:val="009C2506"/>
    <w:rsid w:val="009C27A3"/>
    <w:rsid w:val="009C43BC"/>
    <w:rsid w:val="009C53D9"/>
    <w:rsid w:val="009C560D"/>
    <w:rsid w:val="009C584F"/>
    <w:rsid w:val="009C6609"/>
    <w:rsid w:val="009C6794"/>
    <w:rsid w:val="009C69C7"/>
    <w:rsid w:val="009C7272"/>
    <w:rsid w:val="009C7488"/>
    <w:rsid w:val="009C7DF9"/>
    <w:rsid w:val="009D07AC"/>
    <w:rsid w:val="009D133D"/>
    <w:rsid w:val="009D3011"/>
    <w:rsid w:val="009D3632"/>
    <w:rsid w:val="009D39EE"/>
    <w:rsid w:val="009D3B2F"/>
    <w:rsid w:val="009D45CE"/>
    <w:rsid w:val="009D4EE0"/>
    <w:rsid w:val="009D5718"/>
    <w:rsid w:val="009D5BC5"/>
    <w:rsid w:val="009D5C64"/>
    <w:rsid w:val="009D5EC3"/>
    <w:rsid w:val="009D6159"/>
    <w:rsid w:val="009D61CA"/>
    <w:rsid w:val="009D668F"/>
    <w:rsid w:val="009D6839"/>
    <w:rsid w:val="009D699E"/>
    <w:rsid w:val="009D7A66"/>
    <w:rsid w:val="009E0337"/>
    <w:rsid w:val="009E04DA"/>
    <w:rsid w:val="009E1A60"/>
    <w:rsid w:val="009E29BD"/>
    <w:rsid w:val="009E4AF6"/>
    <w:rsid w:val="009E50C9"/>
    <w:rsid w:val="009E58F8"/>
    <w:rsid w:val="009E5DE9"/>
    <w:rsid w:val="009E6741"/>
    <w:rsid w:val="009E6903"/>
    <w:rsid w:val="009E6C04"/>
    <w:rsid w:val="009E6DFE"/>
    <w:rsid w:val="009E7099"/>
    <w:rsid w:val="009F073F"/>
    <w:rsid w:val="009F179F"/>
    <w:rsid w:val="009F1B9B"/>
    <w:rsid w:val="009F218A"/>
    <w:rsid w:val="009F280C"/>
    <w:rsid w:val="009F3822"/>
    <w:rsid w:val="009F3C50"/>
    <w:rsid w:val="009F42AB"/>
    <w:rsid w:val="009F4CE9"/>
    <w:rsid w:val="009F4FAB"/>
    <w:rsid w:val="009F5292"/>
    <w:rsid w:val="009F55B1"/>
    <w:rsid w:val="009F6647"/>
    <w:rsid w:val="009F69D4"/>
    <w:rsid w:val="009F6FCA"/>
    <w:rsid w:val="00A01A1E"/>
    <w:rsid w:val="00A036AA"/>
    <w:rsid w:val="00A038C8"/>
    <w:rsid w:val="00A0432A"/>
    <w:rsid w:val="00A04F66"/>
    <w:rsid w:val="00A0528A"/>
    <w:rsid w:val="00A063D7"/>
    <w:rsid w:val="00A063F4"/>
    <w:rsid w:val="00A076E5"/>
    <w:rsid w:val="00A0792A"/>
    <w:rsid w:val="00A1085A"/>
    <w:rsid w:val="00A10D32"/>
    <w:rsid w:val="00A11AC2"/>
    <w:rsid w:val="00A11FDB"/>
    <w:rsid w:val="00A1260B"/>
    <w:rsid w:val="00A14050"/>
    <w:rsid w:val="00A140B7"/>
    <w:rsid w:val="00A140EF"/>
    <w:rsid w:val="00A16199"/>
    <w:rsid w:val="00A163B7"/>
    <w:rsid w:val="00A166EE"/>
    <w:rsid w:val="00A16792"/>
    <w:rsid w:val="00A17010"/>
    <w:rsid w:val="00A17316"/>
    <w:rsid w:val="00A17644"/>
    <w:rsid w:val="00A212C8"/>
    <w:rsid w:val="00A214B3"/>
    <w:rsid w:val="00A21A59"/>
    <w:rsid w:val="00A223CD"/>
    <w:rsid w:val="00A2247C"/>
    <w:rsid w:val="00A22BBD"/>
    <w:rsid w:val="00A23244"/>
    <w:rsid w:val="00A236BB"/>
    <w:rsid w:val="00A23CEF"/>
    <w:rsid w:val="00A23E39"/>
    <w:rsid w:val="00A25340"/>
    <w:rsid w:val="00A25494"/>
    <w:rsid w:val="00A2672D"/>
    <w:rsid w:val="00A301F3"/>
    <w:rsid w:val="00A302E5"/>
    <w:rsid w:val="00A31173"/>
    <w:rsid w:val="00A3130B"/>
    <w:rsid w:val="00A3188B"/>
    <w:rsid w:val="00A31C7D"/>
    <w:rsid w:val="00A32418"/>
    <w:rsid w:val="00A33D87"/>
    <w:rsid w:val="00A34086"/>
    <w:rsid w:val="00A3439F"/>
    <w:rsid w:val="00A34834"/>
    <w:rsid w:val="00A34B19"/>
    <w:rsid w:val="00A34D42"/>
    <w:rsid w:val="00A35708"/>
    <w:rsid w:val="00A35736"/>
    <w:rsid w:val="00A35BFE"/>
    <w:rsid w:val="00A35C59"/>
    <w:rsid w:val="00A360A7"/>
    <w:rsid w:val="00A3619B"/>
    <w:rsid w:val="00A3791F"/>
    <w:rsid w:val="00A37F57"/>
    <w:rsid w:val="00A40E72"/>
    <w:rsid w:val="00A41964"/>
    <w:rsid w:val="00A41D2F"/>
    <w:rsid w:val="00A42435"/>
    <w:rsid w:val="00A426CE"/>
    <w:rsid w:val="00A430C7"/>
    <w:rsid w:val="00A4378B"/>
    <w:rsid w:val="00A43CB6"/>
    <w:rsid w:val="00A442D4"/>
    <w:rsid w:val="00A44326"/>
    <w:rsid w:val="00A444F6"/>
    <w:rsid w:val="00A44668"/>
    <w:rsid w:val="00A4472B"/>
    <w:rsid w:val="00A459FA"/>
    <w:rsid w:val="00A45D0B"/>
    <w:rsid w:val="00A45E11"/>
    <w:rsid w:val="00A4744F"/>
    <w:rsid w:val="00A47AC5"/>
    <w:rsid w:val="00A47E80"/>
    <w:rsid w:val="00A503A4"/>
    <w:rsid w:val="00A50884"/>
    <w:rsid w:val="00A50BC2"/>
    <w:rsid w:val="00A520FB"/>
    <w:rsid w:val="00A529D3"/>
    <w:rsid w:val="00A53660"/>
    <w:rsid w:val="00A53CA5"/>
    <w:rsid w:val="00A54DAF"/>
    <w:rsid w:val="00A5545E"/>
    <w:rsid w:val="00A557C6"/>
    <w:rsid w:val="00A55F27"/>
    <w:rsid w:val="00A56CA1"/>
    <w:rsid w:val="00A57209"/>
    <w:rsid w:val="00A57973"/>
    <w:rsid w:val="00A57A67"/>
    <w:rsid w:val="00A60698"/>
    <w:rsid w:val="00A60850"/>
    <w:rsid w:val="00A60BEB"/>
    <w:rsid w:val="00A61522"/>
    <w:rsid w:val="00A61617"/>
    <w:rsid w:val="00A6193B"/>
    <w:rsid w:val="00A61CAC"/>
    <w:rsid w:val="00A625E9"/>
    <w:rsid w:val="00A6278A"/>
    <w:rsid w:val="00A629DE"/>
    <w:rsid w:val="00A63234"/>
    <w:rsid w:val="00A63CF7"/>
    <w:rsid w:val="00A649C0"/>
    <w:rsid w:val="00A64E38"/>
    <w:rsid w:val="00A6528D"/>
    <w:rsid w:val="00A655A9"/>
    <w:rsid w:val="00A70C0F"/>
    <w:rsid w:val="00A71486"/>
    <w:rsid w:val="00A72336"/>
    <w:rsid w:val="00A72584"/>
    <w:rsid w:val="00A72D87"/>
    <w:rsid w:val="00A72FCE"/>
    <w:rsid w:val="00A7381D"/>
    <w:rsid w:val="00A742F0"/>
    <w:rsid w:val="00A7472A"/>
    <w:rsid w:val="00A74825"/>
    <w:rsid w:val="00A748BB"/>
    <w:rsid w:val="00A76CF8"/>
    <w:rsid w:val="00A771CA"/>
    <w:rsid w:val="00A779BC"/>
    <w:rsid w:val="00A81027"/>
    <w:rsid w:val="00A816B7"/>
    <w:rsid w:val="00A825B3"/>
    <w:rsid w:val="00A82727"/>
    <w:rsid w:val="00A83DE3"/>
    <w:rsid w:val="00A85F1D"/>
    <w:rsid w:val="00A90239"/>
    <w:rsid w:val="00A90631"/>
    <w:rsid w:val="00A90697"/>
    <w:rsid w:val="00A91A8F"/>
    <w:rsid w:val="00A91AD7"/>
    <w:rsid w:val="00A91B8F"/>
    <w:rsid w:val="00A93EE9"/>
    <w:rsid w:val="00A942F5"/>
    <w:rsid w:val="00A94DD6"/>
    <w:rsid w:val="00A958B1"/>
    <w:rsid w:val="00A96EAF"/>
    <w:rsid w:val="00A97239"/>
    <w:rsid w:val="00AA10DF"/>
    <w:rsid w:val="00AA1529"/>
    <w:rsid w:val="00AA1B5F"/>
    <w:rsid w:val="00AA1CB1"/>
    <w:rsid w:val="00AA25C0"/>
    <w:rsid w:val="00AA34FD"/>
    <w:rsid w:val="00AA3A11"/>
    <w:rsid w:val="00AA3F1B"/>
    <w:rsid w:val="00AA531A"/>
    <w:rsid w:val="00AA5A92"/>
    <w:rsid w:val="00AA6790"/>
    <w:rsid w:val="00AA6B70"/>
    <w:rsid w:val="00AA6EF1"/>
    <w:rsid w:val="00AA70AC"/>
    <w:rsid w:val="00AA7512"/>
    <w:rsid w:val="00AB014D"/>
    <w:rsid w:val="00AB1211"/>
    <w:rsid w:val="00AB2A59"/>
    <w:rsid w:val="00AB3044"/>
    <w:rsid w:val="00AB3E9F"/>
    <w:rsid w:val="00AB3FB5"/>
    <w:rsid w:val="00AB4C09"/>
    <w:rsid w:val="00AB5825"/>
    <w:rsid w:val="00AB65A9"/>
    <w:rsid w:val="00AB6708"/>
    <w:rsid w:val="00AB6818"/>
    <w:rsid w:val="00AB6BE3"/>
    <w:rsid w:val="00AB6C89"/>
    <w:rsid w:val="00AB6F45"/>
    <w:rsid w:val="00AB7B0E"/>
    <w:rsid w:val="00AC056C"/>
    <w:rsid w:val="00AC07B1"/>
    <w:rsid w:val="00AC0F91"/>
    <w:rsid w:val="00AC120E"/>
    <w:rsid w:val="00AC14D6"/>
    <w:rsid w:val="00AC1A33"/>
    <w:rsid w:val="00AC231B"/>
    <w:rsid w:val="00AC233C"/>
    <w:rsid w:val="00AC2CA8"/>
    <w:rsid w:val="00AC33C4"/>
    <w:rsid w:val="00AC37F6"/>
    <w:rsid w:val="00AC383D"/>
    <w:rsid w:val="00AC3915"/>
    <w:rsid w:val="00AC4683"/>
    <w:rsid w:val="00AC5177"/>
    <w:rsid w:val="00AC568F"/>
    <w:rsid w:val="00AC640C"/>
    <w:rsid w:val="00AC6681"/>
    <w:rsid w:val="00AC6AAF"/>
    <w:rsid w:val="00AC6F1A"/>
    <w:rsid w:val="00AC7D67"/>
    <w:rsid w:val="00AD06E0"/>
    <w:rsid w:val="00AD10C9"/>
    <w:rsid w:val="00AD1670"/>
    <w:rsid w:val="00AD26D6"/>
    <w:rsid w:val="00AD2946"/>
    <w:rsid w:val="00AD30EB"/>
    <w:rsid w:val="00AD3F1E"/>
    <w:rsid w:val="00AD3F20"/>
    <w:rsid w:val="00AD436F"/>
    <w:rsid w:val="00AD4570"/>
    <w:rsid w:val="00AD5102"/>
    <w:rsid w:val="00AD5C2C"/>
    <w:rsid w:val="00AD601C"/>
    <w:rsid w:val="00AD6821"/>
    <w:rsid w:val="00AD7917"/>
    <w:rsid w:val="00AE007B"/>
    <w:rsid w:val="00AE0B5D"/>
    <w:rsid w:val="00AE0E25"/>
    <w:rsid w:val="00AE1060"/>
    <w:rsid w:val="00AE1A9B"/>
    <w:rsid w:val="00AE2269"/>
    <w:rsid w:val="00AE262B"/>
    <w:rsid w:val="00AE2ECF"/>
    <w:rsid w:val="00AE380A"/>
    <w:rsid w:val="00AE419E"/>
    <w:rsid w:val="00AE48C2"/>
    <w:rsid w:val="00AE4D06"/>
    <w:rsid w:val="00AE5CD2"/>
    <w:rsid w:val="00AE6EA7"/>
    <w:rsid w:val="00AE732A"/>
    <w:rsid w:val="00AE7742"/>
    <w:rsid w:val="00AF0864"/>
    <w:rsid w:val="00AF142B"/>
    <w:rsid w:val="00AF169A"/>
    <w:rsid w:val="00AF1DB2"/>
    <w:rsid w:val="00AF2EDA"/>
    <w:rsid w:val="00AF2FA6"/>
    <w:rsid w:val="00AF2FD6"/>
    <w:rsid w:val="00AF3F6E"/>
    <w:rsid w:val="00AF526A"/>
    <w:rsid w:val="00AF5ED5"/>
    <w:rsid w:val="00AF64EB"/>
    <w:rsid w:val="00AF6EA4"/>
    <w:rsid w:val="00AF7B9B"/>
    <w:rsid w:val="00B0084F"/>
    <w:rsid w:val="00B01074"/>
    <w:rsid w:val="00B01DEE"/>
    <w:rsid w:val="00B02535"/>
    <w:rsid w:val="00B028A9"/>
    <w:rsid w:val="00B03179"/>
    <w:rsid w:val="00B0443C"/>
    <w:rsid w:val="00B04B3B"/>
    <w:rsid w:val="00B05136"/>
    <w:rsid w:val="00B0541D"/>
    <w:rsid w:val="00B059D0"/>
    <w:rsid w:val="00B05B13"/>
    <w:rsid w:val="00B05DBC"/>
    <w:rsid w:val="00B06262"/>
    <w:rsid w:val="00B06691"/>
    <w:rsid w:val="00B06720"/>
    <w:rsid w:val="00B069E8"/>
    <w:rsid w:val="00B07FBD"/>
    <w:rsid w:val="00B10241"/>
    <w:rsid w:val="00B106F5"/>
    <w:rsid w:val="00B10C30"/>
    <w:rsid w:val="00B10C3C"/>
    <w:rsid w:val="00B11B87"/>
    <w:rsid w:val="00B140CF"/>
    <w:rsid w:val="00B1466C"/>
    <w:rsid w:val="00B146A3"/>
    <w:rsid w:val="00B148A6"/>
    <w:rsid w:val="00B15271"/>
    <w:rsid w:val="00B15F84"/>
    <w:rsid w:val="00B164F5"/>
    <w:rsid w:val="00B16AFD"/>
    <w:rsid w:val="00B17139"/>
    <w:rsid w:val="00B17B2D"/>
    <w:rsid w:val="00B20D4C"/>
    <w:rsid w:val="00B228D2"/>
    <w:rsid w:val="00B22DBB"/>
    <w:rsid w:val="00B22DD4"/>
    <w:rsid w:val="00B2493A"/>
    <w:rsid w:val="00B24957"/>
    <w:rsid w:val="00B24A6B"/>
    <w:rsid w:val="00B24DB2"/>
    <w:rsid w:val="00B26635"/>
    <w:rsid w:val="00B26F8F"/>
    <w:rsid w:val="00B279CE"/>
    <w:rsid w:val="00B302B2"/>
    <w:rsid w:val="00B30A56"/>
    <w:rsid w:val="00B3123B"/>
    <w:rsid w:val="00B312E2"/>
    <w:rsid w:val="00B32258"/>
    <w:rsid w:val="00B32860"/>
    <w:rsid w:val="00B332F7"/>
    <w:rsid w:val="00B3337A"/>
    <w:rsid w:val="00B33ACE"/>
    <w:rsid w:val="00B34000"/>
    <w:rsid w:val="00B34156"/>
    <w:rsid w:val="00B352A9"/>
    <w:rsid w:val="00B35A63"/>
    <w:rsid w:val="00B36153"/>
    <w:rsid w:val="00B37DB1"/>
    <w:rsid w:val="00B37EF0"/>
    <w:rsid w:val="00B4053D"/>
    <w:rsid w:val="00B40FB4"/>
    <w:rsid w:val="00B41D8F"/>
    <w:rsid w:val="00B44255"/>
    <w:rsid w:val="00B4456A"/>
    <w:rsid w:val="00B45C21"/>
    <w:rsid w:val="00B45FFF"/>
    <w:rsid w:val="00B466F5"/>
    <w:rsid w:val="00B4695E"/>
    <w:rsid w:val="00B46A4A"/>
    <w:rsid w:val="00B475D9"/>
    <w:rsid w:val="00B503A6"/>
    <w:rsid w:val="00B50D7F"/>
    <w:rsid w:val="00B516CB"/>
    <w:rsid w:val="00B51D50"/>
    <w:rsid w:val="00B52FFE"/>
    <w:rsid w:val="00B5342D"/>
    <w:rsid w:val="00B53DBF"/>
    <w:rsid w:val="00B55F04"/>
    <w:rsid w:val="00B55FC3"/>
    <w:rsid w:val="00B56447"/>
    <w:rsid w:val="00B56CB7"/>
    <w:rsid w:val="00B5701E"/>
    <w:rsid w:val="00B57C02"/>
    <w:rsid w:val="00B60443"/>
    <w:rsid w:val="00B61CC2"/>
    <w:rsid w:val="00B623B4"/>
    <w:rsid w:val="00B62990"/>
    <w:rsid w:val="00B631BF"/>
    <w:rsid w:val="00B635FD"/>
    <w:rsid w:val="00B63E49"/>
    <w:rsid w:val="00B64B11"/>
    <w:rsid w:val="00B65693"/>
    <w:rsid w:val="00B66408"/>
    <w:rsid w:val="00B66672"/>
    <w:rsid w:val="00B66E49"/>
    <w:rsid w:val="00B715CC"/>
    <w:rsid w:val="00B72588"/>
    <w:rsid w:val="00B72E03"/>
    <w:rsid w:val="00B73FF6"/>
    <w:rsid w:val="00B7454F"/>
    <w:rsid w:val="00B7522D"/>
    <w:rsid w:val="00B75C00"/>
    <w:rsid w:val="00B75D41"/>
    <w:rsid w:val="00B75E9C"/>
    <w:rsid w:val="00B7633B"/>
    <w:rsid w:val="00B77EC2"/>
    <w:rsid w:val="00B77FB4"/>
    <w:rsid w:val="00B80912"/>
    <w:rsid w:val="00B809C6"/>
    <w:rsid w:val="00B80DB5"/>
    <w:rsid w:val="00B8111A"/>
    <w:rsid w:val="00B81924"/>
    <w:rsid w:val="00B819BC"/>
    <w:rsid w:val="00B81B54"/>
    <w:rsid w:val="00B81C03"/>
    <w:rsid w:val="00B837A3"/>
    <w:rsid w:val="00B83ADF"/>
    <w:rsid w:val="00B83D66"/>
    <w:rsid w:val="00B840D4"/>
    <w:rsid w:val="00B8442C"/>
    <w:rsid w:val="00B84E64"/>
    <w:rsid w:val="00B85675"/>
    <w:rsid w:val="00B85A00"/>
    <w:rsid w:val="00B85F18"/>
    <w:rsid w:val="00B86DD0"/>
    <w:rsid w:val="00B8729A"/>
    <w:rsid w:val="00B91EF4"/>
    <w:rsid w:val="00B9240D"/>
    <w:rsid w:val="00B9245F"/>
    <w:rsid w:val="00B926B0"/>
    <w:rsid w:val="00B93061"/>
    <w:rsid w:val="00B932EE"/>
    <w:rsid w:val="00B9364E"/>
    <w:rsid w:val="00B93A78"/>
    <w:rsid w:val="00B93DB5"/>
    <w:rsid w:val="00B93FC7"/>
    <w:rsid w:val="00B96E36"/>
    <w:rsid w:val="00B96FAD"/>
    <w:rsid w:val="00B9708F"/>
    <w:rsid w:val="00B977BC"/>
    <w:rsid w:val="00B97851"/>
    <w:rsid w:val="00B97996"/>
    <w:rsid w:val="00B97A89"/>
    <w:rsid w:val="00B97A9A"/>
    <w:rsid w:val="00BA0EA4"/>
    <w:rsid w:val="00BA21C6"/>
    <w:rsid w:val="00BA25FD"/>
    <w:rsid w:val="00BA2A48"/>
    <w:rsid w:val="00BA2DCB"/>
    <w:rsid w:val="00BA2E1C"/>
    <w:rsid w:val="00BA30B0"/>
    <w:rsid w:val="00BA4995"/>
    <w:rsid w:val="00BA4AC5"/>
    <w:rsid w:val="00BA4D90"/>
    <w:rsid w:val="00BA5CFC"/>
    <w:rsid w:val="00BA5E59"/>
    <w:rsid w:val="00BA5EF7"/>
    <w:rsid w:val="00BA615C"/>
    <w:rsid w:val="00BA6F9A"/>
    <w:rsid w:val="00BA7302"/>
    <w:rsid w:val="00BB0267"/>
    <w:rsid w:val="00BB0EDC"/>
    <w:rsid w:val="00BB255D"/>
    <w:rsid w:val="00BB2906"/>
    <w:rsid w:val="00BB2EA7"/>
    <w:rsid w:val="00BB33FD"/>
    <w:rsid w:val="00BB360E"/>
    <w:rsid w:val="00BB37F9"/>
    <w:rsid w:val="00BB40B8"/>
    <w:rsid w:val="00BB42D5"/>
    <w:rsid w:val="00BB4606"/>
    <w:rsid w:val="00BB4638"/>
    <w:rsid w:val="00BB49BA"/>
    <w:rsid w:val="00BB5069"/>
    <w:rsid w:val="00BB5135"/>
    <w:rsid w:val="00BB525B"/>
    <w:rsid w:val="00BB6A68"/>
    <w:rsid w:val="00BB749C"/>
    <w:rsid w:val="00BC06FE"/>
    <w:rsid w:val="00BC19BF"/>
    <w:rsid w:val="00BC3DBE"/>
    <w:rsid w:val="00BC3E4D"/>
    <w:rsid w:val="00BC439C"/>
    <w:rsid w:val="00BC43D9"/>
    <w:rsid w:val="00BC5AE8"/>
    <w:rsid w:val="00BC5EAC"/>
    <w:rsid w:val="00BC627F"/>
    <w:rsid w:val="00BC6592"/>
    <w:rsid w:val="00BC6AD7"/>
    <w:rsid w:val="00BC6BAF"/>
    <w:rsid w:val="00BC715A"/>
    <w:rsid w:val="00BC7260"/>
    <w:rsid w:val="00BC77BA"/>
    <w:rsid w:val="00BC7E41"/>
    <w:rsid w:val="00BD081A"/>
    <w:rsid w:val="00BD0D5D"/>
    <w:rsid w:val="00BD1F33"/>
    <w:rsid w:val="00BD3209"/>
    <w:rsid w:val="00BD3552"/>
    <w:rsid w:val="00BD48CF"/>
    <w:rsid w:val="00BD4DA1"/>
    <w:rsid w:val="00BD5EBE"/>
    <w:rsid w:val="00BD60D4"/>
    <w:rsid w:val="00BD683E"/>
    <w:rsid w:val="00BD6C18"/>
    <w:rsid w:val="00BD6F36"/>
    <w:rsid w:val="00BD7149"/>
    <w:rsid w:val="00BD7179"/>
    <w:rsid w:val="00BD71E1"/>
    <w:rsid w:val="00BD757D"/>
    <w:rsid w:val="00BD7DB7"/>
    <w:rsid w:val="00BE0338"/>
    <w:rsid w:val="00BE1027"/>
    <w:rsid w:val="00BE1810"/>
    <w:rsid w:val="00BE1E1E"/>
    <w:rsid w:val="00BE2339"/>
    <w:rsid w:val="00BE252D"/>
    <w:rsid w:val="00BE29C4"/>
    <w:rsid w:val="00BE34D7"/>
    <w:rsid w:val="00BE40D1"/>
    <w:rsid w:val="00BE7071"/>
    <w:rsid w:val="00BE7C59"/>
    <w:rsid w:val="00BE7EA5"/>
    <w:rsid w:val="00BF14CF"/>
    <w:rsid w:val="00BF2FBE"/>
    <w:rsid w:val="00BF36D7"/>
    <w:rsid w:val="00BF372E"/>
    <w:rsid w:val="00BF4A6A"/>
    <w:rsid w:val="00BF4E93"/>
    <w:rsid w:val="00BF712A"/>
    <w:rsid w:val="00BF7EB2"/>
    <w:rsid w:val="00C0016C"/>
    <w:rsid w:val="00C001E5"/>
    <w:rsid w:val="00C019F1"/>
    <w:rsid w:val="00C01B8A"/>
    <w:rsid w:val="00C01DD0"/>
    <w:rsid w:val="00C01FD6"/>
    <w:rsid w:val="00C021D3"/>
    <w:rsid w:val="00C0331A"/>
    <w:rsid w:val="00C03B56"/>
    <w:rsid w:val="00C0404A"/>
    <w:rsid w:val="00C042C1"/>
    <w:rsid w:val="00C04521"/>
    <w:rsid w:val="00C04764"/>
    <w:rsid w:val="00C04A29"/>
    <w:rsid w:val="00C0535F"/>
    <w:rsid w:val="00C056D3"/>
    <w:rsid w:val="00C05756"/>
    <w:rsid w:val="00C05B71"/>
    <w:rsid w:val="00C0659F"/>
    <w:rsid w:val="00C06779"/>
    <w:rsid w:val="00C0680F"/>
    <w:rsid w:val="00C07077"/>
    <w:rsid w:val="00C118DF"/>
    <w:rsid w:val="00C11CE6"/>
    <w:rsid w:val="00C12B5D"/>
    <w:rsid w:val="00C13FE1"/>
    <w:rsid w:val="00C141F2"/>
    <w:rsid w:val="00C14267"/>
    <w:rsid w:val="00C14577"/>
    <w:rsid w:val="00C14683"/>
    <w:rsid w:val="00C15083"/>
    <w:rsid w:val="00C15111"/>
    <w:rsid w:val="00C15656"/>
    <w:rsid w:val="00C15D0D"/>
    <w:rsid w:val="00C16043"/>
    <w:rsid w:val="00C16A32"/>
    <w:rsid w:val="00C2054F"/>
    <w:rsid w:val="00C2116F"/>
    <w:rsid w:val="00C21385"/>
    <w:rsid w:val="00C22046"/>
    <w:rsid w:val="00C22081"/>
    <w:rsid w:val="00C2289E"/>
    <w:rsid w:val="00C22B15"/>
    <w:rsid w:val="00C22D4A"/>
    <w:rsid w:val="00C23345"/>
    <w:rsid w:val="00C240AD"/>
    <w:rsid w:val="00C24484"/>
    <w:rsid w:val="00C244A0"/>
    <w:rsid w:val="00C246A9"/>
    <w:rsid w:val="00C2524F"/>
    <w:rsid w:val="00C26632"/>
    <w:rsid w:val="00C26DFE"/>
    <w:rsid w:val="00C27DCE"/>
    <w:rsid w:val="00C27E0A"/>
    <w:rsid w:val="00C30544"/>
    <w:rsid w:val="00C31461"/>
    <w:rsid w:val="00C32B52"/>
    <w:rsid w:val="00C33D59"/>
    <w:rsid w:val="00C3472A"/>
    <w:rsid w:val="00C34ECC"/>
    <w:rsid w:val="00C35604"/>
    <w:rsid w:val="00C35617"/>
    <w:rsid w:val="00C359FC"/>
    <w:rsid w:val="00C35A45"/>
    <w:rsid w:val="00C361B4"/>
    <w:rsid w:val="00C36BEC"/>
    <w:rsid w:val="00C371EF"/>
    <w:rsid w:val="00C37664"/>
    <w:rsid w:val="00C4143E"/>
    <w:rsid w:val="00C414B1"/>
    <w:rsid w:val="00C41630"/>
    <w:rsid w:val="00C429F8"/>
    <w:rsid w:val="00C4316B"/>
    <w:rsid w:val="00C4387D"/>
    <w:rsid w:val="00C4402E"/>
    <w:rsid w:val="00C44802"/>
    <w:rsid w:val="00C44EAE"/>
    <w:rsid w:val="00C505A6"/>
    <w:rsid w:val="00C51757"/>
    <w:rsid w:val="00C521A9"/>
    <w:rsid w:val="00C533CF"/>
    <w:rsid w:val="00C533E3"/>
    <w:rsid w:val="00C535DE"/>
    <w:rsid w:val="00C53977"/>
    <w:rsid w:val="00C53B92"/>
    <w:rsid w:val="00C56A9A"/>
    <w:rsid w:val="00C57563"/>
    <w:rsid w:val="00C57EAF"/>
    <w:rsid w:val="00C60A48"/>
    <w:rsid w:val="00C60E5A"/>
    <w:rsid w:val="00C61591"/>
    <w:rsid w:val="00C61E91"/>
    <w:rsid w:val="00C626B0"/>
    <w:rsid w:val="00C63479"/>
    <w:rsid w:val="00C64183"/>
    <w:rsid w:val="00C6592C"/>
    <w:rsid w:val="00C65CD2"/>
    <w:rsid w:val="00C65CDF"/>
    <w:rsid w:val="00C661CA"/>
    <w:rsid w:val="00C66490"/>
    <w:rsid w:val="00C665A0"/>
    <w:rsid w:val="00C67A30"/>
    <w:rsid w:val="00C67F9F"/>
    <w:rsid w:val="00C70383"/>
    <w:rsid w:val="00C70798"/>
    <w:rsid w:val="00C70EF6"/>
    <w:rsid w:val="00C719AA"/>
    <w:rsid w:val="00C719C1"/>
    <w:rsid w:val="00C722A9"/>
    <w:rsid w:val="00C72434"/>
    <w:rsid w:val="00C72920"/>
    <w:rsid w:val="00C731A8"/>
    <w:rsid w:val="00C736B8"/>
    <w:rsid w:val="00C743F9"/>
    <w:rsid w:val="00C74677"/>
    <w:rsid w:val="00C74E7E"/>
    <w:rsid w:val="00C752A8"/>
    <w:rsid w:val="00C75C38"/>
    <w:rsid w:val="00C80306"/>
    <w:rsid w:val="00C8298A"/>
    <w:rsid w:val="00C8336A"/>
    <w:rsid w:val="00C8436A"/>
    <w:rsid w:val="00C856E6"/>
    <w:rsid w:val="00C8649E"/>
    <w:rsid w:val="00C86936"/>
    <w:rsid w:val="00C87302"/>
    <w:rsid w:val="00C8794B"/>
    <w:rsid w:val="00C9041E"/>
    <w:rsid w:val="00C90477"/>
    <w:rsid w:val="00C90919"/>
    <w:rsid w:val="00C930E3"/>
    <w:rsid w:val="00C952F4"/>
    <w:rsid w:val="00C971A5"/>
    <w:rsid w:val="00C9755C"/>
    <w:rsid w:val="00C9797B"/>
    <w:rsid w:val="00C97C52"/>
    <w:rsid w:val="00C97CCC"/>
    <w:rsid w:val="00C97D81"/>
    <w:rsid w:val="00CA0C10"/>
    <w:rsid w:val="00CA142B"/>
    <w:rsid w:val="00CA147A"/>
    <w:rsid w:val="00CA2202"/>
    <w:rsid w:val="00CA383E"/>
    <w:rsid w:val="00CA4E6F"/>
    <w:rsid w:val="00CA57E0"/>
    <w:rsid w:val="00CA5C31"/>
    <w:rsid w:val="00CA6A3A"/>
    <w:rsid w:val="00CA742E"/>
    <w:rsid w:val="00CA759B"/>
    <w:rsid w:val="00CA7602"/>
    <w:rsid w:val="00CA794E"/>
    <w:rsid w:val="00CA7A8F"/>
    <w:rsid w:val="00CB0114"/>
    <w:rsid w:val="00CB071D"/>
    <w:rsid w:val="00CB102A"/>
    <w:rsid w:val="00CB1EB7"/>
    <w:rsid w:val="00CB2095"/>
    <w:rsid w:val="00CB2F57"/>
    <w:rsid w:val="00CB42C4"/>
    <w:rsid w:val="00CB53A3"/>
    <w:rsid w:val="00CB5476"/>
    <w:rsid w:val="00CB5823"/>
    <w:rsid w:val="00CB5D19"/>
    <w:rsid w:val="00CB6824"/>
    <w:rsid w:val="00CB6A65"/>
    <w:rsid w:val="00CB6B1C"/>
    <w:rsid w:val="00CB78C1"/>
    <w:rsid w:val="00CB7904"/>
    <w:rsid w:val="00CB7AE6"/>
    <w:rsid w:val="00CB7D6C"/>
    <w:rsid w:val="00CB7F52"/>
    <w:rsid w:val="00CC0A95"/>
    <w:rsid w:val="00CC0AA7"/>
    <w:rsid w:val="00CC1E06"/>
    <w:rsid w:val="00CC2625"/>
    <w:rsid w:val="00CC34BE"/>
    <w:rsid w:val="00CC359B"/>
    <w:rsid w:val="00CC3D56"/>
    <w:rsid w:val="00CC3E45"/>
    <w:rsid w:val="00CC3FDC"/>
    <w:rsid w:val="00CC4A4B"/>
    <w:rsid w:val="00CC52C2"/>
    <w:rsid w:val="00CC5318"/>
    <w:rsid w:val="00CC5C80"/>
    <w:rsid w:val="00CC61A9"/>
    <w:rsid w:val="00CC69BF"/>
    <w:rsid w:val="00CC7A68"/>
    <w:rsid w:val="00CD0098"/>
    <w:rsid w:val="00CD13AA"/>
    <w:rsid w:val="00CD1F49"/>
    <w:rsid w:val="00CD207E"/>
    <w:rsid w:val="00CD22F8"/>
    <w:rsid w:val="00CD2331"/>
    <w:rsid w:val="00CD23AD"/>
    <w:rsid w:val="00CD2E37"/>
    <w:rsid w:val="00CD348A"/>
    <w:rsid w:val="00CD3734"/>
    <w:rsid w:val="00CD421A"/>
    <w:rsid w:val="00CD45C1"/>
    <w:rsid w:val="00CD50F6"/>
    <w:rsid w:val="00CD5614"/>
    <w:rsid w:val="00CD598C"/>
    <w:rsid w:val="00CD5CAD"/>
    <w:rsid w:val="00CD5ED1"/>
    <w:rsid w:val="00CD6C1A"/>
    <w:rsid w:val="00CD6CF5"/>
    <w:rsid w:val="00CD70BE"/>
    <w:rsid w:val="00CD7A56"/>
    <w:rsid w:val="00CE09D5"/>
    <w:rsid w:val="00CE0A95"/>
    <w:rsid w:val="00CE1242"/>
    <w:rsid w:val="00CE25AC"/>
    <w:rsid w:val="00CE29ED"/>
    <w:rsid w:val="00CE2F7C"/>
    <w:rsid w:val="00CE35E1"/>
    <w:rsid w:val="00CE37B9"/>
    <w:rsid w:val="00CE445A"/>
    <w:rsid w:val="00CE464A"/>
    <w:rsid w:val="00CE54ED"/>
    <w:rsid w:val="00CE6345"/>
    <w:rsid w:val="00CE6758"/>
    <w:rsid w:val="00CE6B65"/>
    <w:rsid w:val="00CE7991"/>
    <w:rsid w:val="00CE7D97"/>
    <w:rsid w:val="00CF0603"/>
    <w:rsid w:val="00CF1B05"/>
    <w:rsid w:val="00CF2508"/>
    <w:rsid w:val="00CF2FD5"/>
    <w:rsid w:val="00CF349F"/>
    <w:rsid w:val="00CF3B75"/>
    <w:rsid w:val="00CF3BAB"/>
    <w:rsid w:val="00CF3F2C"/>
    <w:rsid w:val="00CF534B"/>
    <w:rsid w:val="00CF579C"/>
    <w:rsid w:val="00CF5F8D"/>
    <w:rsid w:val="00CF6C05"/>
    <w:rsid w:val="00CF7442"/>
    <w:rsid w:val="00CF75B8"/>
    <w:rsid w:val="00CF79C6"/>
    <w:rsid w:val="00CF7FAA"/>
    <w:rsid w:val="00D00326"/>
    <w:rsid w:val="00D006A4"/>
    <w:rsid w:val="00D00795"/>
    <w:rsid w:val="00D01153"/>
    <w:rsid w:val="00D01169"/>
    <w:rsid w:val="00D018A6"/>
    <w:rsid w:val="00D020EB"/>
    <w:rsid w:val="00D02A6E"/>
    <w:rsid w:val="00D02E3A"/>
    <w:rsid w:val="00D044B5"/>
    <w:rsid w:val="00D04B13"/>
    <w:rsid w:val="00D05645"/>
    <w:rsid w:val="00D05B7D"/>
    <w:rsid w:val="00D060EF"/>
    <w:rsid w:val="00D06A0D"/>
    <w:rsid w:val="00D07497"/>
    <w:rsid w:val="00D07AAB"/>
    <w:rsid w:val="00D101C5"/>
    <w:rsid w:val="00D103DB"/>
    <w:rsid w:val="00D10497"/>
    <w:rsid w:val="00D1076A"/>
    <w:rsid w:val="00D11AA7"/>
    <w:rsid w:val="00D120A3"/>
    <w:rsid w:val="00D139E6"/>
    <w:rsid w:val="00D140C2"/>
    <w:rsid w:val="00D14296"/>
    <w:rsid w:val="00D147A0"/>
    <w:rsid w:val="00D15A44"/>
    <w:rsid w:val="00D15AB2"/>
    <w:rsid w:val="00D16195"/>
    <w:rsid w:val="00D1734C"/>
    <w:rsid w:val="00D174F3"/>
    <w:rsid w:val="00D17FCB"/>
    <w:rsid w:val="00D210E0"/>
    <w:rsid w:val="00D22B33"/>
    <w:rsid w:val="00D2346E"/>
    <w:rsid w:val="00D23AE5"/>
    <w:rsid w:val="00D242B7"/>
    <w:rsid w:val="00D24401"/>
    <w:rsid w:val="00D2472A"/>
    <w:rsid w:val="00D247CB"/>
    <w:rsid w:val="00D24A5F"/>
    <w:rsid w:val="00D2501C"/>
    <w:rsid w:val="00D25E1C"/>
    <w:rsid w:val="00D26C6B"/>
    <w:rsid w:val="00D2770C"/>
    <w:rsid w:val="00D27815"/>
    <w:rsid w:val="00D27FB1"/>
    <w:rsid w:val="00D305F7"/>
    <w:rsid w:val="00D313DC"/>
    <w:rsid w:val="00D3143F"/>
    <w:rsid w:val="00D31B31"/>
    <w:rsid w:val="00D32290"/>
    <w:rsid w:val="00D33325"/>
    <w:rsid w:val="00D336B1"/>
    <w:rsid w:val="00D33838"/>
    <w:rsid w:val="00D33DD0"/>
    <w:rsid w:val="00D33F97"/>
    <w:rsid w:val="00D348B5"/>
    <w:rsid w:val="00D348FB"/>
    <w:rsid w:val="00D35C9E"/>
    <w:rsid w:val="00D35DBA"/>
    <w:rsid w:val="00D35F68"/>
    <w:rsid w:val="00D36AA5"/>
    <w:rsid w:val="00D37144"/>
    <w:rsid w:val="00D3772F"/>
    <w:rsid w:val="00D403B8"/>
    <w:rsid w:val="00D40492"/>
    <w:rsid w:val="00D408D9"/>
    <w:rsid w:val="00D40C17"/>
    <w:rsid w:val="00D418F8"/>
    <w:rsid w:val="00D42440"/>
    <w:rsid w:val="00D426C4"/>
    <w:rsid w:val="00D43718"/>
    <w:rsid w:val="00D4418C"/>
    <w:rsid w:val="00D443D6"/>
    <w:rsid w:val="00D4471F"/>
    <w:rsid w:val="00D45147"/>
    <w:rsid w:val="00D45928"/>
    <w:rsid w:val="00D5102D"/>
    <w:rsid w:val="00D51208"/>
    <w:rsid w:val="00D515CB"/>
    <w:rsid w:val="00D5178C"/>
    <w:rsid w:val="00D519BB"/>
    <w:rsid w:val="00D51A3A"/>
    <w:rsid w:val="00D51A3C"/>
    <w:rsid w:val="00D51BF6"/>
    <w:rsid w:val="00D51BFF"/>
    <w:rsid w:val="00D51E5A"/>
    <w:rsid w:val="00D52474"/>
    <w:rsid w:val="00D52586"/>
    <w:rsid w:val="00D54320"/>
    <w:rsid w:val="00D55EFC"/>
    <w:rsid w:val="00D55FC1"/>
    <w:rsid w:val="00D564FF"/>
    <w:rsid w:val="00D6056F"/>
    <w:rsid w:val="00D60FB3"/>
    <w:rsid w:val="00D616D9"/>
    <w:rsid w:val="00D62162"/>
    <w:rsid w:val="00D62548"/>
    <w:rsid w:val="00D62CEF"/>
    <w:rsid w:val="00D6446D"/>
    <w:rsid w:val="00D65555"/>
    <w:rsid w:val="00D65C4D"/>
    <w:rsid w:val="00D65C8D"/>
    <w:rsid w:val="00D667CD"/>
    <w:rsid w:val="00D66936"/>
    <w:rsid w:val="00D66AEC"/>
    <w:rsid w:val="00D66CF1"/>
    <w:rsid w:val="00D67896"/>
    <w:rsid w:val="00D67B0C"/>
    <w:rsid w:val="00D67D18"/>
    <w:rsid w:val="00D67EFA"/>
    <w:rsid w:val="00D700C9"/>
    <w:rsid w:val="00D7018F"/>
    <w:rsid w:val="00D70402"/>
    <w:rsid w:val="00D709B3"/>
    <w:rsid w:val="00D743A4"/>
    <w:rsid w:val="00D743B4"/>
    <w:rsid w:val="00D74898"/>
    <w:rsid w:val="00D74D3F"/>
    <w:rsid w:val="00D74F38"/>
    <w:rsid w:val="00D7576B"/>
    <w:rsid w:val="00D7792D"/>
    <w:rsid w:val="00D77FD0"/>
    <w:rsid w:val="00D8084A"/>
    <w:rsid w:val="00D80E5E"/>
    <w:rsid w:val="00D81A2C"/>
    <w:rsid w:val="00D81F77"/>
    <w:rsid w:val="00D81FFD"/>
    <w:rsid w:val="00D82348"/>
    <w:rsid w:val="00D8268A"/>
    <w:rsid w:val="00D832AE"/>
    <w:rsid w:val="00D8450B"/>
    <w:rsid w:val="00D858E2"/>
    <w:rsid w:val="00D85CF4"/>
    <w:rsid w:val="00D8746C"/>
    <w:rsid w:val="00D90382"/>
    <w:rsid w:val="00D90448"/>
    <w:rsid w:val="00D90742"/>
    <w:rsid w:val="00D92089"/>
    <w:rsid w:val="00D92144"/>
    <w:rsid w:val="00D92478"/>
    <w:rsid w:val="00D927F6"/>
    <w:rsid w:val="00D941FF"/>
    <w:rsid w:val="00D943B8"/>
    <w:rsid w:val="00D94BDB"/>
    <w:rsid w:val="00D94EDA"/>
    <w:rsid w:val="00D9588D"/>
    <w:rsid w:val="00D95AD4"/>
    <w:rsid w:val="00D95AEB"/>
    <w:rsid w:val="00D962AA"/>
    <w:rsid w:val="00D96322"/>
    <w:rsid w:val="00D96423"/>
    <w:rsid w:val="00D969A0"/>
    <w:rsid w:val="00D96C59"/>
    <w:rsid w:val="00DA0149"/>
    <w:rsid w:val="00DA2E49"/>
    <w:rsid w:val="00DA39C8"/>
    <w:rsid w:val="00DA4160"/>
    <w:rsid w:val="00DA488B"/>
    <w:rsid w:val="00DA49CE"/>
    <w:rsid w:val="00DA50C3"/>
    <w:rsid w:val="00DA5812"/>
    <w:rsid w:val="00DA5A31"/>
    <w:rsid w:val="00DA5F96"/>
    <w:rsid w:val="00DA702A"/>
    <w:rsid w:val="00DA7186"/>
    <w:rsid w:val="00DA730A"/>
    <w:rsid w:val="00DB0909"/>
    <w:rsid w:val="00DB0C7F"/>
    <w:rsid w:val="00DB1B8C"/>
    <w:rsid w:val="00DB1BC2"/>
    <w:rsid w:val="00DB1D41"/>
    <w:rsid w:val="00DB1D62"/>
    <w:rsid w:val="00DB2CD2"/>
    <w:rsid w:val="00DB3ADD"/>
    <w:rsid w:val="00DB3E89"/>
    <w:rsid w:val="00DB560D"/>
    <w:rsid w:val="00DB5B72"/>
    <w:rsid w:val="00DB5E0D"/>
    <w:rsid w:val="00DB63D7"/>
    <w:rsid w:val="00DB641F"/>
    <w:rsid w:val="00DB6781"/>
    <w:rsid w:val="00DB6F7B"/>
    <w:rsid w:val="00DB70AE"/>
    <w:rsid w:val="00DC0308"/>
    <w:rsid w:val="00DC045C"/>
    <w:rsid w:val="00DC04B1"/>
    <w:rsid w:val="00DC0DC5"/>
    <w:rsid w:val="00DC189A"/>
    <w:rsid w:val="00DC1EBD"/>
    <w:rsid w:val="00DC254A"/>
    <w:rsid w:val="00DC2572"/>
    <w:rsid w:val="00DC262D"/>
    <w:rsid w:val="00DC3C9D"/>
    <w:rsid w:val="00DC58E7"/>
    <w:rsid w:val="00DC59FB"/>
    <w:rsid w:val="00DC5ACE"/>
    <w:rsid w:val="00DC5C07"/>
    <w:rsid w:val="00DC5F2C"/>
    <w:rsid w:val="00DC611C"/>
    <w:rsid w:val="00DC6FE6"/>
    <w:rsid w:val="00DC7C75"/>
    <w:rsid w:val="00DD206F"/>
    <w:rsid w:val="00DD2588"/>
    <w:rsid w:val="00DD2865"/>
    <w:rsid w:val="00DD3E1D"/>
    <w:rsid w:val="00DD426C"/>
    <w:rsid w:val="00DD476C"/>
    <w:rsid w:val="00DD5049"/>
    <w:rsid w:val="00DD5522"/>
    <w:rsid w:val="00DE0CE3"/>
    <w:rsid w:val="00DE10C1"/>
    <w:rsid w:val="00DE20C6"/>
    <w:rsid w:val="00DE2ACE"/>
    <w:rsid w:val="00DE347D"/>
    <w:rsid w:val="00DE3734"/>
    <w:rsid w:val="00DE39CA"/>
    <w:rsid w:val="00DE425C"/>
    <w:rsid w:val="00DE42F3"/>
    <w:rsid w:val="00DE4605"/>
    <w:rsid w:val="00DE464C"/>
    <w:rsid w:val="00DE5020"/>
    <w:rsid w:val="00DE54EC"/>
    <w:rsid w:val="00DE602A"/>
    <w:rsid w:val="00DE6B08"/>
    <w:rsid w:val="00DE7E00"/>
    <w:rsid w:val="00DE7EAE"/>
    <w:rsid w:val="00DF02C2"/>
    <w:rsid w:val="00DF02E3"/>
    <w:rsid w:val="00DF046F"/>
    <w:rsid w:val="00DF27C8"/>
    <w:rsid w:val="00DF35D9"/>
    <w:rsid w:val="00DF3673"/>
    <w:rsid w:val="00DF412A"/>
    <w:rsid w:val="00DF441C"/>
    <w:rsid w:val="00DF4488"/>
    <w:rsid w:val="00DF5D24"/>
    <w:rsid w:val="00DF632C"/>
    <w:rsid w:val="00DF6761"/>
    <w:rsid w:val="00DF6E71"/>
    <w:rsid w:val="00DF710D"/>
    <w:rsid w:val="00DF7DB4"/>
    <w:rsid w:val="00DF7FFD"/>
    <w:rsid w:val="00E00057"/>
    <w:rsid w:val="00E0019F"/>
    <w:rsid w:val="00E001B5"/>
    <w:rsid w:val="00E001EB"/>
    <w:rsid w:val="00E00738"/>
    <w:rsid w:val="00E00E8C"/>
    <w:rsid w:val="00E017F0"/>
    <w:rsid w:val="00E018EB"/>
    <w:rsid w:val="00E02C60"/>
    <w:rsid w:val="00E03C97"/>
    <w:rsid w:val="00E03DF4"/>
    <w:rsid w:val="00E04A9E"/>
    <w:rsid w:val="00E04B1C"/>
    <w:rsid w:val="00E04DAF"/>
    <w:rsid w:val="00E05027"/>
    <w:rsid w:val="00E05EE0"/>
    <w:rsid w:val="00E06835"/>
    <w:rsid w:val="00E06F18"/>
    <w:rsid w:val="00E07356"/>
    <w:rsid w:val="00E101A4"/>
    <w:rsid w:val="00E113F2"/>
    <w:rsid w:val="00E119BE"/>
    <w:rsid w:val="00E11FD1"/>
    <w:rsid w:val="00E1204E"/>
    <w:rsid w:val="00E14453"/>
    <w:rsid w:val="00E14BBE"/>
    <w:rsid w:val="00E15A3F"/>
    <w:rsid w:val="00E1781D"/>
    <w:rsid w:val="00E20264"/>
    <w:rsid w:val="00E2172D"/>
    <w:rsid w:val="00E21903"/>
    <w:rsid w:val="00E21CD3"/>
    <w:rsid w:val="00E22458"/>
    <w:rsid w:val="00E22ACE"/>
    <w:rsid w:val="00E23186"/>
    <w:rsid w:val="00E2372F"/>
    <w:rsid w:val="00E24104"/>
    <w:rsid w:val="00E2436A"/>
    <w:rsid w:val="00E24D43"/>
    <w:rsid w:val="00E24EE1"/>
    <w:rsid w:val="00E2534C"/>
    <w:rsid w:val="00E264DA"/>
    <w:rsid w:val="00E266B3"/>
    <w:rsid w:val="00E26F96"/>
    <w:rsid w:val="00E27F7C"/>
    <w:rsid w:val="00E301B9"/>
    <w:rsid w:val="00E301D1"/>
    <w:rsid w:val="00E30278"/>
    <w:rsid w:val="00E30FE0"/>
    <w:rsid w:val="00E31FD9"/>
    <w:rsid w:val="00E325EF"/>
    <w:rsid w:val="00E32D67"/>
    <w:rsid w:val="00E333FD"/>
    <w:rsid w:val="00E334FB"/>
    <w:rsid w:val="00E33ADD"/>
    <w:rsid w:val="00E34240"/>
    <w:rsid w:val="00E34BCA"/>
    <w:rsid w:val="00E35285"/>
    <w:rsid w:val="00E36036"/>
    <w:rsid w:val="00E36690"/>
    <w:rsid w:val="00E3782E"/>
    <w:rsid w:val="00E378F1"/>
    <w:rsid w:val="00E3796D"/>
    <w:rsid w:val="00E41920"/>
    <w:rsid w:val="00E41E60"/>
    <w:rsid w:val="00E42B0A"/>
    <w:rsid w:val="00E42C89"/>
    <w:rsid w:val="00E42D30"/>
    <w:rsid w:val="00E43D18"/>
    <w:rsid w:val="00E458A2"/>
    <w:rsid w:val="00E458CF"/>
    <w:rsid w:val="00E45B92"/>
    <w:rsid w:val="00E45BDE"/>
    <w:rsid w:val="00E45F39"/>
    <w:rsid w:val="00E46673"/>
    <w:rsid w:val="00E46FBE"/>
    <w:rsid w:val="00E477D4"/>
    <w:rsid w:val="00E504AD"/>
    <w:rsid w:val="00E50B4D"/>
    <w:rsid w:val="00E51901"/>
    <w:rsid w:val="00E52382"/>
    <w:rsid w:val="00E5261A"/>
    <w:rsid w:val="00E529A8"/>
    <w:rsid w:val="00E52C82"/>
    <w:rsid w:val="00E52CA4"/>
    <w:rsid w:val="00E53ADF"/>
    <w:rsid w:val="00E54204"/>
    <w:rsid w:val="00E54B16"/>
    <w:rsid w:val="00E55A7D"/>
    <w:rsid w:val="00E55EDC"/>
    <w:rsid w:val="00E564FF"/>
    <w:rsid w:val="00E571A4"/>
    <w:rsid w:val="00E571B3"/>
    <w:rsid w:val="00E608BA"/>
    <w:rsid w:val="00E61254"/>
    <w:rsid w:val="00E61D9C"/>
    <w:rsid w:val="00E62111"/>
    <w:rsid w:val="00E62256"/>
    <w:rsid w:val="00E62963"/>
    <w:rsid w:val="00E62D66"/>
    <w:rsid w:val="00E62F76"/>
    <w:rsid w:val="00E6335E"/>
    <w:rsid w:val="00E6359C"/>
    <w:rsid w:val="00E64169"/>
    <w:rsid w:val="00E6491F"/>
    <w:rsid w:val="00E65511"/>
    <w:rsid w:val="00E656FF"/>
    <w:rsid w:val="00E6662D"/>
    <w:rsid w:val="00E66E1F"/>
    <w:rsid w:val="00E66F81"/>
    <w:rsid w:val="00E672BB"/>
    <w:rsid w:val="00E67649"/>
    <w:rsid w:val="00E67B52"/>
    <w:rsid w:val="00E67EB4"/>
    <w:rsid w:val="00E70778"/>
    <w:rsid w:val="00E7159B"/>
    <w:rsid w:val="00E717F6"/>
    <w:rsid w:val="00E71B68"/>
    <w:rsid w:val="00E726E7"/>
    <w:rsid w:val="00E753ED"/>
    <w:rsid w:val="00E75F3D"/>
    <w:rsid w:val="00E760E7"/>
    <w:rsid w:val="00E76E8E"/>
    <w:rsid w:val="00E80DE8"/>
    <w:rsid w:val="00E811DF"/>
    <w:rsid w:val="00E81468"/>
    <w:rsid w:val="00E825B3"/>
    <w:rsid w:val="00E83138"/>
    <w:rsid w:val="00E83839"/>
    <w:rsid w:val="00E844B9"/>
    <w:rsid w:val="00E85068"/>
    <w:rsid w:val="00E8570B"/>
    <w:rsid w:val="00E8692D"/>
    <w:rsid w:val="00E86FB0"/>
    <w:rsid w:val="00E874DD"/>
    <w:rsid w:val="00E900F0"/>
    <w:rsid w:val="00E90203"/>
    <w:rsid w:val="00E90A8E"/>
    <w:rsid w:val="00E90C4F"/>
    <w:rsid w:val="00E91B36"/>
    <w:rsid w:val="00E928B2"/>
    <w:rsid w:val="00E933EF"/>
    <w:rsid w:val="00E93E8F"/>
    <w:rsid w:val="00E954AE"/>
    <w:rsid w:val="00E973F9"/>
    <w:rsid w:val="00E978D7"/>
    <w:rsid w:val="00EA009E"/>
    <w:rsid w:val="00EA027E"/>
    <w:rsid w:val="00EA1437"/>
    <w:rsid w:val="00EA27C4"/>
    <w:rsid w:val="00EA2D22"/>
    <w:rsid w:val="00EA4BE0"/>
    <w:rsid w:val="00EA5053"/>
    <w:rsid w:val="00EA557B"/>
    <w:rsid w:val="00EB0BBB"/>
    <w:rsid w:val="00EB1060"/>
    <w:rsid w:val="00EB10BE"/>
    <w:rsid w:val="00EB1B04"/>
    <w:rsid w:val="00EB24AD"/>
    <w:rsid w:val="00EB25DE"/>
    <w:rsid w:val="00EB2C7E"/>
    <w:rsid w:val="00EB2CFB"/>
    <w:rsid w:val="00EB4146"/>
    <w:rsid w:val="00EB4245"/>
    <w:rsid w:val="00EB4B95"/>
    <w:rsid w:val="00EB4C77"/>
    <w:rsid w:val="00EB4D51"/>
    <w:rsid w:val="00EB4E43"/>
    <w:rsid w:val="00EB4EDF"/>
    <w:rsid w:val="00EB5191"/>
    <w:rsid w:val="00EB5333"/>
    <w:rsid w:val="00EB5648"/>
    <w:rsid w:val="00EB5CF5"/>
    <w:rsid w:val="00EB6544"/>
    <w:rsid w:val="00EB6553"/>
    <w:rsid w:val="00EB6B33"/>
    <w:rsid w:val="00EB7182"/>
    <w:rsid w:val="00EB722C"/>
    <w:rsid w:val="00EC0BA9"/>
    <w:rsid w:val="00EC122B"/>
    <w:rsid w:val="00EC159D"/>
    <w:rsid w:val="00EC3B63"/>
    <w:rsid w:val="00EC3CBE"/>
    <w:rsid w:val="00EC428C"/>
    <w:rsid w:val="00EC53BE"/>
    <w:rsid w:val="00EC5636"/>
    <w:rsid w:val="00EC70CE"/>
    <w:rsid w:val="00EC732C"/>
    <w:rsid w:val="00EC766A"/>
    <w:rsid w:val="00ED02A7"/>
    <w:rsid w:val="00ED07EF"/>
    <w:rsid w:val="00ED3242"/>
    <w:rsid w:val="00ED39DD"/>
    <w:rsid w:val="00ED437D"/>
    <w:rsid w:val="00ED446D"/>
    <w:rsid w:val="00ED5056"/>
    <w:rsid w:val="00ED5441"/>
    <w:rsid w:val="00ED5AB3"/>
    <w:rsid w:val="00ED6762"/>
    <w:rsid w:val="00ED78D8"/>
    <w:rsid w:val="00EE0207"/>
    <w:rsid w:val="00EE090F"/>
    <w:rsid w:val="00EE0A61"/>
    <w:rsid w:val="00EE0DC5"/>
    <w:rsid w:val="00EE25F5"/>
    <w:rsid w:val="00EE25F9"/>
    <w:rsid w:val="00EE2B06"/>
    <w:rsid w:val="00EE2B0C"/>
    <w:rsid w:val="00EE3562"/>
    <w:rsid w:val="00EE3919"/>
    <w:rsid w:val="00EE4FFB"/>
    <w:rsid w:val="00EE6B5D"/>
    <w:rsid w:val="00EE7445"/>
    <w:rsid w:val="00EE7DA7"/>
    <w:rsid w:val="00EE7F9F"/>
    <w:rsid w:val="00EF0978"/>
    <w:rsid w:val="00EF157B"/>
    <w:rsid w:val="00EF17F3"/>
    <w:rsid w:val="00EF187A"/>
    <w:rsid w:val="00EF1C4E"/>
    <w:rsid w:val="00EF2D31"/>
    <w:rsid w:val="00EF3429"/>
    <w:rsid w:val="00EF68DE"/>
    <w:rsid w:val="00EF78C4"/>
    <w:rsid w:val="00EF78D7"/>
    <w:rsid w:val="00EF7CBC"/>
    <w:rsid w:val="00F001F1"/>
    <w:rsid w:val="00F00A5C"/>
    <w:rsid w:val="00F00C26"/>
    <w:rsid w:val="00F01614"/>
    <w:rsid w:val="00F01B47"/>
    <w:rsid w:val="00F02916"/>
    <w:rsid w:val="00F02DB4"/>
    <w:rsid w:val="00F02E0F"/>
    <w:rsid w:val="00F03B8A"/>
    <w:rsid w:val="00F03ECC"/>
    <w:rsid w:val="00F047E7"/>
    <w:rsid w:val="00F04E26"/>
    <w:rsid w:val="00F06AE9"/>
    <w:rsid w:val="00F078B7"/>
    <w:rsid w:val="00F079CB"/>
    <w:rsid w:val="00F07FA5"/>
    <w:rsid w:val="00F1021C"/>
    <w:rsid w:val="00F11209"/>
    <w:rsid w:val="00F11C70"/>
    <w:rsid w:val="00F122E9"/>
    <w:rsid w:val="00F1236A"/>
    <w:rsid w:val="00F12C23"/>
    <w:rsid w:val="00F12F8F"/>
    <w:rsid w:val="00F13106"/>
    <w:rsid w:val="00F135CA"/>
    <w:rsid w:val="00F13E2B"/>
    <w:rsid w:val="00F1487C"/>
    <w:rsid w:val="00F155D1"/>
    <w:rsid w:val="00F16C70"/>
    <w:rsid w:val="00F16FE4"/>
    <w:rsid w:val="00F1757C"/>
    <w:rsid w:val="00F17588"/>
    <w:rsid w:val="00F20077"/>
    <w:rsid w:val="00F21068"/>
    <w:rsid w:val="00F215E3"/>
    <w:rsid w:val="00F21852"/>
    <w:rsid w:val="00F21A4B"/>
    <w:rsid w:val="00F21B96"/>
    <w:rsid w:val="00F224DC"/>
    <w:rsid w:val="00F22B67"/>
    <w:rsid w:val="00F22CAE"/>
    <w:rsid w:val="00F23611"/>
    <w:rsid w:val="00F246BC"/>
    <w:rsid w:val="00F24AED"/>
    <w:rsid w:val="00F250A8"/>
    <w:rsid w:val="00F25798"/>
    <w:rsid w:val="00F25981"/>
    <w:rsid w:val="00F27100"/>
    <w:rsid w:val="00F27BAA"/>
    <w:rsid w:val="00F27DB2"/>
    <w:rsid w:val="00F3024F"/>
    <w:rsid w:val="00F3083B"/>
    <w:rsid w:val="00F310D5"/>
    <w:rsid w:val="00F316D7"/>
    <w:rsid w:val="00F31DC7"/>
    <w:rsid w:val="00F325F6"/>
    <w:rsid w:val="00F328D8"/>
    <w:rsid w:val="00F3301E"/>
    <w:rsid w:val="00F3439A"/>
    <w:rsid w:val="00F34408"/>
    <w:rsid w:val="00F34582"/>
    <w:rsid w:val="00F35A57"/>
    <w:rsid w:val="00F35FCF"/>
    <w:rsid w:val="00F3692A"/>
    <w:rsid w:val="00F36BB0"/>
    <w:rsid w:val="00F37898"/>
    <w:rsid w:val="00F4083E"/>
    <w:rsid w:val="00F41804"/>
    <w:rsid w:val="00F4225A"/>
    <w:rsid w:val="00F4266F"/>
    <w:rsid w:val="00F428D0"/>
    <w:rsid w:val="00F4366A"/>
    <w:rsid w:val="00F43C43"/>
    <w:rsid w:val="00F4428B"/>
    <w:rsid w:val="00F453CC"/>
    <w:rsid w:val="00F46CB0"/>
    <w:rsid w:val="00F4730D"/>
    <w:rsid w:val="00F4778E"/>
    <w:rsid w:val="00F50A45"/>
    <w:rsid w:val="00F50E6D"/>
    <w:rsid w:val="00F51852"/>
    <w:rsid w:val="00F519C2"/>
    <w:rsid w:val="00F52496"/>
    <w:rsid w:val="00F52912"/>
    <w:rsid w:val="00F53123"/>
    <w:rsid w:val="00F53877"/>
    <w:rsid w:val="00F538D4"/>
    <w:rsid w:val="00F539CD"/>
    <w:rsid w:val="00F54156"/>
    <w:rsid w:val="00F54894"/>
    <w:rsid w:val="00F55531"/>
    <w:rsid w:val="00F55B54"/>
    <w:rsid w:val="00F56245"/>
    <w:rsid w:val="00F565B2"/>
    <w:rsid w:val="00F5679C"/>
    <w:rsid w:val="00F56905"/>
    <w:rsid w:val="00F57702"/>
    <w:rsid w:val="00F57BA4"/>
    <w:rsid w:val="00F57EC9"/>
    <w:rsid w:val="00F60381"/>
    <w:rsid w:val="00F60548"/>
    <w:rsid w:val="00F60E53"/>
    <w:rsid w:val="00F61322"/>
    <w:rsid w:val="00F6143B"/>
    <w:rsid w:val="00F617B1"/>
    <w:rsid w:val="00F623D5"/>
    <w:rsid w:val="00F6403B"/>
    <w:rsid w:val="00F64E04"/>
    <w:rsid w:val="00F65049"/>
    <w:rsid w:val="00F65817"/>
    <w:rsid w:val="00F66419"/>
    <w:rsid w:val="00F6712E"/>
    <w:rsid w:val="00F67257"/>
    <w:rsid w:val="00F72258"/>
    <w:rsid w:val="00F729B9"/>
    <w:rsid w:val="00F72AE9"/>
    <w:rsid w:val="00F72E2E"/>
    <w:rsid w:val="00F74759"/>
    <w:rsid w:val="00F74874"/>
    <w:rsid w:val="00F75E40"/>
    <w:rsid w:val="00F76B05"/>
    <w:rsid w:val="00F76C95"/>
    <w:rsid w:val="00F77EFA"/>
    <w:rsid w:val="00F81395"/>
    <w:rsid w:val="00F814AC"/>
    <w:rsid w:val="00F81C32"/>
    <w:rsid w:val="00F81CD7"/>
    <w:rsid w:val="00F833CE"/>
    <w:rsid w:val="00F853C9"/>
    <w:rsid w:val="00F85618"/>
    <w:rsid w:val="00F863F7"/>
    <w:rsid w:val="00F86503"/>
    <w:rsid w:val="00F86977"/>
    <w:rsid w:val="00F86A60"/>
    <w:rsid w:val="00F873C9"/>
    <w:rsid w:val="00F87674"/>
    <w:rsid w:val="00F87898"/>
    <w:rsid w:val="00F87F1B"/>
    <w:rsid w:val="00F90367"/>
    <w:rsid w:val="00F90505"/>
    <w:rsid w:val="00F90A97"/>
    <w:rsid w:val="00F92E66"/>
    <w:rsid w:val="00F93009"/>
    <w:rsid w:val="00F935CD"/>
    <w:rsid w:val="00F93732"/>
    <w:rsid w:val="00F93BFF"/>
    <w:rsid w:val="00F94985"/>
    <w:rsid w:val="00F95458"/>
    <w:rsid w:val="00F95ED5"/>
    <w:rsid w:val="00F97895"/>
    <w:rsid w:val="00F97A0C"/>
    <w:rsid w:val="00FA00F8"/>
    <w:rsid w:val="00FA05E8"/>
    <w:rsid w:val="00FA1003"/>
    <w:rsid w:val="00FA11F0"/>
    <w:rsid w:val="00FA12BE"/>
    <w:rsid w:val="00FA1579"/>
    <w:rsid w:val="00FA1E73"/>
    <w:rsid w:val="00FA2D33"/>
    <w:rsid w:val="00FA34F1"/>
    <w:rsid w:val="00FA3A52"/>
    <w:rsid w:val="00FA41EB"/>
    <w:rsid w:val="00FA5298"/>
    <w:rsid w:val="00FA5AF2"/>
    <w:rsid w:val="00FA5D5B"/>
    <w:rsid w:val="00FA6670"/>
    <w:rsid w:val="00FA6B2E"/>
    <w:rsid w:val="00FA7959"/>
    <w:rsid w:val="00FA7CE5"/>
    <w:rsid w:val="00FB01A0"/>
    <w:rsid w:val="00FB05D3"/>
    <w:rsid w:val="00FB17BF"/>
    <w:rsid w:val="00FB1904"/>
    <w:rsid w:val="00FB1A8C"/>
    <w:rsid w:val="00FB349C"/>
    <w:rsid w:val="00FB4543"/>
    <w:rsid w:val="00FB4FBA"/>
    <w:rsid w:val="00FB551E"/>
    <w:rsid w:val="00FB563E"/>
    <w:rsid w:val="00FB5784"/>
    <w:rsid w:val="00FB64DD"/>
    <w:rsid w:val="00FB67D1"/>
    <w:rsid w:val="00FB6DB4"/>
    <w:rsid w:val="00FB7321"/>
    <w:rsid w:val="00FB7F0D"/>
    <w:rsid w:val="00FC0006"/>
    <w:rsid w:val="00FC03F1"/>
    <w:rsid w:val="00FC0E95"/>
    <w:rsid w:val="00FC134F"/>
    <w:rsid w:val="00FC1D5F"/>
    <w:rsid w:val="00FC2F6D"/>
    <w:rsid w:val="00FC3605"/>
    <w:rsid w:val="00FC4E7B"/>
    <w:rsid w:val="00FC4F1A"/>
    <w:rsid w:val="00FC554E"/>
    <w:rsid w:val="00FC6612"/>
    <w:rsid w:val="00FC6B92"/>
    <w:rsid w:val="00FC6C54"/>
    <w:rsid w:val="00FC7C10"/>
    <w:rsid w:val="00FD0AC0"/>
    <w:rsid w:val="00FD0DCE"/>
    <w:rsid w:val="00FD0E87"/>
    <w:rsid w:val="00FD1BD4"/>
    <w:rsid w:val="00FD3A02"/>
    <w:rsid w:val="00FD3B24"/>
    <w:rsid w:val="00FD4FE8"/>
    <w:rsid w:val="00FD5733"/>
    <w:rsid w:val="00FD6233"/>
    <w:rsid w:val="00FD6765"/>
    <w:rsid w:val="00FD68B0"/>
    <w:rsid w:val="00FD7053"/>
    <w:rsid w:val="00FD709F"/>
    <w:rsid w:val="00FD71A5"/>
    <w:rsid w:val="00FD7433"/>
    <w:rsid w:val="00FD7B23"/>
    <w:rsid w:val="00FD7B72"/>
    <w:rsid w:val="00FD7E4E"/>
    <w:rsid w:val="00FE242D"/>
    <w:rsid w:val="00FE3B91"/>
    <w:rsid w:val="00FE3B9F"/>
    <w:rsid w:val="00FE40D4"/>
    <w:rsid w:val="00FE4B07"/>
    <w:rsid w:val="00FE4B7C"/>
    <w:rsid w:val="00FE4E9B"/>
    <w:rsid w:val="00FE51B4"/>
    <w:rsid w:val="00FE5662"/>
    <w:rsid w:val="00FE58CD"/>
    <w:rsid w:val="00FE59FD"/>
    <w:rsid w:val="00FE68C3"/>
    <w:rsid w:val="00FE6917"/>
    <w:rsid w:val="00FE6A73"/>
    <w:rsid w:val="00FE74A7"/>
    <w:rsid w:val="00FE75E3"/>
    <w:rsid w:val="00FE7D28"/>
    <w:rsid w:val="00FF0189"/>
    <w:rsid w:val="00FF01A2"/>
    <w:rsid w:val="00FF1951"/>
    <w:rsid w:val="00FF1B51"/>
    <w:rsid w:val="00FF205A"/>
    <w:rsid w:val="00FF23E6"/>
    <w:rsid w:val="00FF2FD5"/>
    <w:rsid w:val="00FF3433"/>
    <w:rsid w:val="00FF403B"/>
    <w:rsid w:val="00FF4BE4"/>
    <w:rsid w:val="00FF547C"/>
    <w:rsid w:val="00FF5A56"/>
    <w:rsid w:val="00FF63E9"/>
    <w:rsid w:val="00FF6B26"/>
    <w:rsid w:val="00FF7032"/>
    <w:rsid w:val="00FF7037"/>
    <w:rsid w:val="00FF7356"/>
    <w:rsid w:val="01F73C44"/>
    <w:rsid w:val="047168CE"/>
    <w:rsid w:val="0596483F"/>
    <w:rsid w:val="0C0B585A"/>
    <w:rsid w:val="0C5965C6"/>
    <w:rsid w:val="0EFF62E5"/>
    <w:rsid w:val="107B6F4E"/>
    <w:rsid w:val="11140D0D"/>
    <w:rsid w:val="112A6783"/>
    <w:rsid w:val="127A382F"/>
    <w:rsid w:val="15067221"/>
    <w:rsid w:val="16B67C28"/>
    <w:rsid w:val="183F7A03"/>
    <w:rsid w:val="19020A55"/>
    <w:rsid w:val="1A0428DE"/>
    <w:rsid w:val="1BE051E8"/>
    <w:rsid w:val="1C534DE0"/>
    <w:rsid w:val="1FD75D28"/>
    <w:rsid w:val="212F2F26"/>
    <w:rsid w:val="22B12860"/>
    <w:rsid w:val="22BB0AB6"/>
    <w:rsid w:val="232B4886"/>
    <w:rsid w:val="23481048"/>
    <w:rsid w:val="248A2B54"/>
    <w:rsid w:val="265728E7"/>
    <w:rsid w:val="2A80133E"/>
    <w:rsid w:val="2B6B0343"/>
    <w:rsid w:val="2F4D4EAF"/>
    <w:rsid w:val="2F743CC1"/>
    <w:rsid w:val="32D00AE0"/>
    <w:rsid w:val="33941B0E"/>
    <w:rsid w:val="339715FE"/>
    <w:rsid w:val="371239CE"/>
    <w:rsid w:val="387B4634"/>
    <w:rsid w:val="38EB59D4"/>
    <w:rsid w:val="39E3734B"/>
    <w:rsid w:val="39F41761"/>
    <w:rsid w:val="3BC739EA"/>
    <w:rsid w:val="3F7C0A80"/>
    <w:rsid w:val="408F70ED"/>
    <w:rsid w:val="40B47E4D"/>
    <w:rsid w:val="42F66014"/>
    <w:rsid w:val="4373463E"/>
    <w:rsid w:val="43A95B51"/>
    <w:rsid w:val="45FD1795"/>
    <w:rsid w:val="4625693E"/>
    <w:rsid w:val="46D405B4"/>
    <w:rsid w:val="47F866B8"/>
    <w:rsid w:val="48B60321"/>
    <w:rsid w:val="4B8F5B2C"/>
    <w:rsid w:val="4D723FCF"/>
    <w:rsid w:val="4F471CD3"/>
    <w:rsid w:val="51954F77"/>
    <w:rsid w:val="51BC72C6"/>
    <w:rsid w:val="52D02682"/>
    <w:rsid w:val="54CA17DE"/>
    <w:rsid w:val="550602FE"/>
    <w:rsid w:val="5586381E"/>
    <w:rsid w:val="55E4027B"/>
    <w:rsid w:val="570C0B9E"/>
    <w:rsid w:val="5ACB7C5C"/>
    <w:rsid w:val="5CA02E9E"/>
    <w:rsid w:val="6437596F"/>
    <w:rsid w:val="64D73C7A"/>
    <w:rsid w:val="65F52031"/>
    <w:rsid w:val="67764305"/>
    <w:rsid w:val="68AD6BF3"/>
    <w:rsid w:val="69CB37D4"/>
    <w:rsid w:val="69EB1780"/>
    <w:rsid w:val="6A3D2A15"/>
    <w:rsid w:val="6A87072C"/>
    <w:rsid w:val="6C0E70BE"/>
    <w:rsid w:val="6DBE2F61"/>
    <w:rsid w:val="6EA75E92"/>
    <w:rsid w:val="6FB72584"/>
    <w:rsid w:val="70B52AE8"/>
    <w:rsid w:val="733F2B3D"/>
    <w:rsid w:val="74030BDF"/>
    <w:rsid w:val="74373814"/>
    <w:rsid w:val="77456248"/>
    <w:rsid w:val="784C6773"/>
    <w:rsid w:val="7B024D11"/>
    <w:rsid w:val="7B9C6D7F"/>
    <w:rsid w:val="7BF5055A"/>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Indent"/>
    <w:basedOn w:val="1"/>
    <w:link w:val="16"/>
    <w:qFormat/>
    <w:uiPriority w:val="0"/>
    <w:pPr>
      <w:ind w:firstLine="560"/>
    </w:pPr>
    <w:rPr>
      <w:rFonts w:ascii="仿宋_GB2312" w:hAnsi="Times New Roman" w:eastAsia="仿宋_GB2312"/>
      <w:kern w:val="0"/>
      <w:sz w:val="28"/>
      <w:szCs w:val="20"/>
    </w:rPr>
  </w:style>
  <w:style w:type="paragraph" w:styleId="6">
    <w:name w:val="Plain Text"/>
    <w:basedOn w:val="1"/>
    <w:link w:val="21"/>
    <w:qFormat/>
    <w:uiPriority w:val="99"/>
    <w:rPr>
      <w:rFonts w:ascii="宋体" w:hAnsi="Courier New"/>
      <w:szCs w:val="20"/>
    </w:rPr>
  </w:style>
  <w:style w:type="paragraph" w:styleId="7">
    <w:name w:val="Balloon Text"/>
    <w:basedOn w:val="1"/>
    <w:link w:val="19"/>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kern w:val="0"/>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正文文本缩进 字符"/>
    <w:link w:val="5"/>
    <w:qFormat/>
    <w:uiPriority w:val="0"/>
    <w:rPr>
      <w:rFonts w:ascii="仿宋_GB2312" w:hAnsi="Times New Roman" w:eastAsia="仿宋_GB2312" w:cs="Times New Roman"/>
      <w:sz w:val="28"/>
      <w:szCs w:val="20"/>
    </w:rPr>
  </w:style>
  <w:style w:type="character" w:customStyle="1" w:styleId="17">
    <w:name w:val="页眉 字符"/>
    <w:link w:val="9"/>
    <w:qFormat/>
    <w:uiPriority w:val="0"/>
    <w:rPr>
      <w:rFonts w:ascii="Calibri" w:hAnsi="Calibri" w:eastAsia="宋体" w:cs="Times New Roman"/>
      <w:sz w:val="18"/>
      <w:szCs w:val="18"/>
    </w:rPr>
  </w:style>
  <w:style w:type="character" w:customStyle="1" w:styleId="18">
    <w:name w:val="页脚 字符"/>
    <w:link w:val="8"/>
    <w:qFormat/>
    <w:uiPriority w:val="99"/>
    <w:rPr>
      <w:rFonts w:ascii="Calibri" w:hAnsi="Calibri" w:eastAsia="宋体" w:cs="Times New Roman"/>
      <w:sz w:val="18"/>
      <w:szCs w:val="18"/>
    </w:rPr>
  </w:style>
  <w:style w:type="character" w:customStyle="1" w:styleId="19">
    <w:name w:val="批注框文本 字符"/>
    <w:link w:val="7"/>
    <w:semiHidden/>
    <w:qFormat/>
    <w:uiPriority w:val="99"/>
    <w:rPr>
      <w:kern w:val="2"/>
      <w:sz w:val="18"/>
      <w:szCs w:val="18"/>
    </w:rPr>
  </w:style>
  <w:style w:type="character" w:customStyle="1" w:styleId="20">
    <w:name w:val="标题 1 字符"/>
    <w:link w:val="2"/>
    <w:qFormat/>
    <w:uiPriority w:val="9"/>
    <w:rPr>
      <w:rFonts w:ascii="Times New Roman" w:hAnsi="Times New Roman"/>
      <w:b/>
      <w:bCs/>
      <w:kern w:val="44"/>
      <w:sz w:val="44"/>
      <w:szCs w:val="44"/>
    </w:rPr>
  </w:style>
  <w:style w:type="character" w:customStyle="1" w:styleId="21">
    <w:name w:val="纯文本 字符"/>
    <w:link w:val="6"/>
    <w:qFormat/>
    <w:uiPriority w:val="99"/>
    <w:rPr>
      <w:rFonts w:ascii="宋体" w:hAnsi="Courier New"/>
      <w:kern w:val="2"/>
      <w:sz w:val="21"/>
    </w:rPr>
  </w:style>
  <w:style w:type="character" w:customStyle="1" w:styleId="22">
    <w:name w:val="纯文本 Char1"/>
    <w:semiHidden/>
    <w:qFormat/>
    <w:uiPriority w:val="99"/>
    <w:rPr>
      <w:rFonts w:ascii="宋体" w:hAnsi="Courier New" w:cs="Courier New"/>
      <w:kern w:val="2"/>
      <w:sz w:val="21"/>
      <w:szCs w:val="21"/>
    </w:rPr>
  </w:style>
  <w:style w:type="paragraph" w:styleId="23">
    <w:name w:val="List Paragraph"/>
    <w:basedOn w:val="1"/>
    <w:qFormat/>
    <w:uiPriority w:val="34"/>
    <w:pPr>
      <w:ind w:firstLine="420" w:firstLineChars="200"/>
    </w:pPr>
  </w:style>
  <w:style w:type="character" w:customStyle="1" w:styleId="24">
    <w:name w:val="标题 2 字符"/>
    <w:basedOn w:val="13"/>
    <w:link w:val="3"/>
    <w:qFormat/>
    <w:uiPriority w:val="9"/>
    <w:rPr>
      <w:rFonts w:asciiTheme="majorHAnsi" w:hAnsiTheme="majorHAnsi" w:eastAsiaTheme="majorEastAsia" w:cstheme="majorBidi"/>
      <w:b/>
      <w:bCs/>
      <w:kern w:val="2"/>
      <w:sz w:val="32"/>
      <w:szCs w:val="32"/>
    </w:rPr>
  </w:style>
  <w:style w:type="character" w:customStyle="1" w:styleId="25">
    <w:name w:val="批注文字 字符"/>
    <w:basedOn w:val="13"/>
    <w:link w:val="4"/>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character" w:customStyle="1" w:styleId="27">
    <w:name w:val="ql-bold-700"/>
    <w:basedOn w:val="13"/>
    <w:qFormat/>
    <w:uiPriority w:val="0"/>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 w:type="character" w:customStyle="1" w:styleId="29">
    <w:name w:val="NormalCharacter"/>
    <w:semiHidden/>
    <w:qFormat/>
    <w:uiPriority w:val="0"/>
    <w:rPr>
      <w:rFonts w:eastAsia="文星简仿宋"/>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2051</Words>
  <Characters>2108</Characters>
  <Lines>92</Lines>
  <Paragraphs>25</Paragraphs>
  <TotalTime>2</TotalTime>
  <ScaleCrop>false</ScaleCrop>
  <LinksUpToDate>false</LinksUpToDate>
  <CharactersWithSpaces>2137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2022-09-27T06:49:00Z</dcterms:created>
  <dc:creator>Jean Li</dc:creator>
  <cp:lastModifiedBy>Administrator</cp:lastModifiedBy>
  <cp:lastPrinted>2024-11-28T07:50:00Z</cp:lastPrinted>
  <dcterms:modified xsi:type="dcterms:W3CDTF">2025-02-17T03:25:42Z</dcterms:modified>
  <cp:revision>882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D4E743A703A944F6B2894E06820537B1</vt:lpwstr>
  </property>
  <property fmtid="{D5CDD505-2E9C-101B-9397-08002B2CF9AE}" pid="4" name="KSOTemplateDocerSaveRecord">
    <vt:lpwstr>eyJoZGlkIjoiMDI2ZTUzZTcyY2EyMzAyZGFjNDdhOGVjY2I3MDFmYzciLCJ1c2VySWQiOiIxMDQzMDQ1NDYwIn0=</vt:lpwstr>
  </property>
</Properties>
</file>