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52"/>
          <w:szCs w:val="72"/>
        </w:rPr>
      </w:pPr>
    </w:p>
    <w:p>
      <w:pPr>
        <w:jc w:val="center"/>
        <w:rPr>
          <w:rFonts w:ascii="黑体" w:hAnsi="黑体" w:eastAsia="黑体" w:cs="黑体"/>
          <w:sz w:val="52"/>
          <w:szCs w:val="72"/>
        </w:rPr>
      </w:pPr>
    </w:p>
    <w:p>
      <w:pPr>
        <w:spacing w:line="720" w:lineRule="auto"/>
        <w:jc w:val="center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电子凭证会计数据标准个性化工具包</w:t>
      </w:r>
    </w:p>
    <w:p>
      <w:pPr>
        <w:spacing w:line="720" w:lineRule="auto"/>
        <w:jc w:val="center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（推广应用版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V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1.0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</w:p>
    <w:p>
      <w:pPr>
        <w:spacing w:line="72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使用说明</w:t>
      </w:r>
    </w:p>
    <w:p>
      <w:pPr>
        <w:spacing w:line="720" w:lineRule="auto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outlineLvl w:val="2"/>
        <w:rPr>
          <w:rFonts w:ascii="仿宋_GB2312" w:hAnsi="仿宋_GB2312" w:eastAsia="仿宋_GB2312" w:cs="仿宋_GB2312"/>
          <w:sz w:val="36"/>
          <w:szCs w:val="36"/>
          <w:lang w:eastAsia="zh-Hans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Hans"/>
        </w:rPr>
        <w:t>金蝶软件（中国）有限公司</w:t>
      </w:r>
    </w:p>
    <w:p>
      <w:pPr>
        <w:jc w:val="center"/>
        <w:outlineLvl w:val="2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2025年</w:t>
      </w:r>
      <w:r>
        <w:rPr>
          <w:rFonts w:ascii="仿宋_GB2312" w:hAnsi="仿宋_GB2312" w:eastAsia="仿宋_GB2312" w:cs="仿宋_GB2312"/>
          <w:sz w:val="36"/>
          <w:szCs w:val="36"/>
        </w:rPr>
        <w:t>4</w:t>
      </w:r>
      <w:r>
        <w:rPr>
          <w:rFonts w:hint="eastAsia" w:ascii="仿宋_GB2312" w:hAnsi="仿宋_GB2312" w:eastAsia="仿宋_GB2312" w:cs="仿宋_GB2312"/>
          <w:sz w:val="36"/>
          <w:szCs w:val="36"/>
        </w:rPr>
        <w:t>月</w:t>
      </w: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pacing w:line="588" w:lineRule="exact"/>
        <w:jc w:val="center"/>
        <w:outlineLvl w:val="1"/>
        <w:rPr>
          <w:rFonts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前  言</w:t>
      </w:r>
    </w:p>
    <w:p>
      <w:pPr>
        <w:spacing w:line="588" w:lineRule="exact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说明文档</w:t>
      </w:r>
      <w:r>
        <w:rPr>
          <w:rFonts w:ascii="仿宋_GB2312" w:hAnsi="仿宋_GB2312" w:eastAsia="仿宋_GB2312" w:cs="仿宋_GB2312"/>
          <w:sz w:val="32"/>
          <w:szCs w:val="32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ascii="仿宋_GB2312" w:hAnsi="仿宋_GB2312" w:eastAsia="仿宋_GB2312" w:cs="仿宋_GB2312"/>
          <w:sz w:val="32"/>
          <w:szCs w:val="32"/>
        </w:rPr>
        <w:t>接收端单位的技术人员，用于了解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通过使用本工具包来对符合</w:t>
      </w:r>
      <w:r>
        <w:rPr>
          <w:rFonts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的电子凭证进行</w:t>
      </w:r>
      <w:r>
        <w:rPr>
          <w:rFonts w:ascii="仿宋_GB2312" w:hAnsi="仿宋_GB2312" w:eastAsia="仿宋_GB2312" w:cs="仿宋_GB2312"/>
          <w:sz w:val="32"/>
          <w:szCs w:val="32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</w:rPr>
        <w:t>、转换等操作。接收端单位的会计信息系统可通过集成本个性化工具包来</w:t>
      </w:r>
      <w:r>
        <w:rPr>
          <w:rFonts w:ascii="仿宋_GB2312" w:hAnsi="仿宋_GB2312" w:eastAsia="仿宋_GB2312" w:cs="仿宋_GB2312"/>
          <w:sz w:val="32"/>
          <w:szCs w:val="32"/>
        </w:rPr>
        <w:t>降低技术难度和实施成本。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作为服务保障单位，</w:t>
      </w:r>
      <w:r>
        <w:rPr>
          <w:rFonts w:ascii="仿宋_GB2312" w:hAnsi="仿宋_GB2312" w:eastAsia="仿宋_GB2312" w:cs="仿宋_GB2312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</w:rPr>
        <w:t>您在使用本</w:t>
      </w:r>
      <w:r>
        <w:rPr>
          <w:rFonts w:ascii="仿宋_GB2312" w:hAnsi="仿宋_GB2312" w:eastAsia="仿宋_GB2312" w:cs="仿宋_GB2312"/>
          <w:sz w:val="32"/>
          <w:szCs w:val="32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过程中有相关</w:t>
      </w:r>
      <w:r>
        <w:rPr>
          <w:rFonts w:ascii="仿宋_GB2312" w:hAnsi="仿宋_GB2312" w:eastAsia="仿宋_GB2312" w:cs="仿宋_GB2312"/>
          <w:sz w:val="32"/>
          <w:szCs w:val="32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</w:rPr>
        <w:t>您联系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ascii="仿宋_GB2312" w:hAnsi="仿宋_GB2312" w:eastAsia="仿宋_GB2312" w:cs="仿宋_GB2312"/>
          <w:sz w:val="32"/>
          <w:szCs w:val="32"/>
        </w:rPr>
        <w:t>0755-84371216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邮箱：</w:t>
      </w:r>
      <w:r>
        <w:rPr>
          <w:rFonts w:ascii="仿宋_GB2312" w:hAnsi="仿宋_GB2312" w:eastAsia="仿宋_GB2312" w:cs="仿宋_GB2312"/>
          <w:sz w:val="32"/>
          <w:szCs w:val="32"/>
        </w:rPr>
        <w:t>xufeng_liu@kingdee.com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jc w:val="center"/>
        <w:outlineLvl w:val="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文档修订记录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tbl>
      <w:tblPr>
        <w:tblStyle w:val="3"/>
        <w:tblW w:w="6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055"/>
        <w:gridCol w:w="3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81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日期</w:t>
            </w:r>
          </w:p>
        </w:tc>
        <w:tc>
          <w:tcPr>
            <w:tcW w:w="1055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修订号</w:t>
            </w:r>
          </w:p>
        </w:tc>
        <w:tc>
          <w:tcPr>
            <w:tcW w:w="3356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2025-04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1.0</w:t>
            </w: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建立本文档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5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numPr>
          <w:ilvl w:val="0"/>
          <w:numId w:val="1"/>
        </w:numPr>
        <w:ind w:firstLine="0"/>
        <w:jc w:val="left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工具包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介绍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子凭证会计数据标准所涉及相关技术标准均为开放技术标准，开具方与接收方企业可依据相关技术标准对系统进行升级改造，以实现电子凭证的落地应用。为助力企业进行快速落地应用，财政部组织相关专家提供了免费开源的工具包，对电子凭证封装技术提供了基础开源实现，企业可以结合自身情况进行参考引用，以更快实现系统的升级改造。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金蝶工具包主要包含一个客户端及两类API。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、客户端：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验签服务，提供验签服务接口，对传入的电子凭证文件进行签名信息提取和验证，确定其合法性及有效性（内容未被篡改），并返回验签结果和签名信息；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解析服务，提供解析服务接口，对传入的电子凭证文件进行信息解析，提取相关结构化数据，并导出电子凭证结构化数据对象（</w:t>
      </w:r>
      <w:r>
        <w:rPr>
          <w:rFonts w:ascii="仿宋_GB2312" w:hAnsi="仿宋_GB2312" w:eastAsia="仿宋_GB2312" w:cs="仿宋_GB2312"/>
          <w:sz w:val="28"/>
          <w:szCs w:val="28"/>
        </w:rPr>
        <w:t>XML/XBRL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ascii="仿宋_GB2312" w:hAnsi="仿宋_GB2312" w:eastAsia="仿宋_GB2312" w:cs="仿宋_GB2312"/>
          <w:sz w:val="28"/>
          <w:szCs w:val="28"/>
        </w:rPr>
        <w:t>API</w:t>
      </w:r>
      <w:r>
        <w:rPr>
          <w:rFonts w:hint="eastAsia" w:ascii="仿宋_GB2312" w:hAnsi="仿宋_GB2312" w:eastAsia="仿宋_GB2312" w:cs="仿宋_GB2312"/>
          <w:sz w:val="28"/>
          <w:szCs w:val="28"/>
        </w:rPr>
        <w:t>接口：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）一是快速生成与解析XBRL实例文档的API，在开具端可以将票据的结构化数据组装成JSON，调用API快速生成XBRL实例文档，在接收端可以将拿到的包含票据结构化XBRL实例文档解析为JSON对象进行后续处理；</w:t>
      </w:r>
    </w:p>
    <w:p>
      <w:pPr>
        <w:spacing w:line="240" w:lineRule="auto"/>
        <w:ind w:firstLine="425" w:firstLineChars="152"/>
        <w:jc w:val="left"/>
      </w:pP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）二是PDF、OFD和ZIP的文件提取API，在接收端调用此API，可以将封装在PDF、OFD和ZIP中的XBRL实例文档文件提取出来供后续处理。</w:t>
      </w:r>
    </w:p>
    <w:p>
      <w:pPr>
        <w:numPr>
          <w:ilvl w:val="0"/>
          <w:numId w:val="1"/>
        </w:numPr>
        <w:ind w:firstLine="0"/>
        <w:jc w:val="left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电子凭证助手客户端操作说明</w:t>
      </w:r>
    </w:p>
    <w:p>
      <w:pPr>
        <w:ind w:firstLine="425" w:firstLineChars="152"/>
        <w:outlineLvl w:val="1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、企业的使用者进行工具包的登录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144145</wp:posOffset>
            </wp:positionV>
            <wp:extent cx="1069975" cy="245745"/>
            <wp:effectExtent l="0" t="0" r="22225" b="8255"/>
            <wp:wrapNone/>
            <wp:docPr id="19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105410</wp:posOffset>
            </wp:positionV>
            <wp:extent cx="5269230" cy="3512820"/>
            <wp:effectExtent l="0" t="0" r="13970" b="17780"/>
            <wp:wrapTopAndBottom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、登录后，可进行电子凭证文档的上传</w:t>
      </w:r>
    </w:p>
    <w:p>
      <w:pPr>
        <w:spacing w:line="588" w:lineRule="exact"/>
        <w:rPr>
          <w:rFonts w:ascii="仿宋_GB2312" w:hAnsi="仿宋_GB2312" w:eastAsia="仿宋_GB2312" w:cs="仿宋_GB2312"/>
          <w:b/>
          <w:bCs/>
          <w:sz w:val="28"/>
          <w:szCs w:val="28"/>
          <w:lang w:eastAsia="zh-Hans"/>
        </w:rPr>
      </w:pP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1741170</wp:posOffset>
            </wp:positionH>
            <wp:positionV relativeFrom="paragraph">
              <wp:posOffset>263525</wp:posOffset>
            </wp:positionV>
            <wp:extent cx="1567180" cy="470535"/>
            <wp:effectExtent l="0" t="0" r="7620" b="12065"/>
            <wp:wrapNone/>
            <wp:docPr id="18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true"/>
                    </pic:cNvPicPr>
                  </pic:nvPicPr>
                  <pic:blipFill>
                    <a:blip r:embed="rId8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129540</wp:posOffset>
            </wp:positionV>
            <wp:extent cx="5269230" cy="3512820"/>
            <wp:effectExtent l="0" t="0" r="13970" b="17780"/>
            <wp:wrapTopAndBottom/>
            <wp:docPr id="4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、电子会计凭证文件上传完成后，系统自动进行验签、分类、解析和关键要素数据的展示，如下图所示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141605</wp:posOffset>
            </wp:positionV>
            <wp:extent cx="1567180" cy="470535"/>
            <wp:effectExtent l="0" t="0" r="7620" b="12065"/>
            <wp:wrapNone/>
            <wp:docPr id="17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true"/>
                    </pic:cNvPicPr>
                  </pic:nvPicPr>
                  <pic:blipFill>
                    <a:blip r:embed="rId8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inline distT="0" distB="0" distL="114300" distR="114300">
            <wp:extent cx="5269230" cy="3512820"/>
            <wp:effectExtent l="0" t="0" r="13970" b="17780"/>
            <wp:docPr id="5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点击查看按钮，可以在线预览</w:t>
      </w:r>
      <w:r>
        <w:rPr>
          <w:rFonts w:ascii="仿宋_GB2312" w:hAnsi="仿宋_GB2312" w:eastAsia="仿宋_GB2312" w:cs="仿宋_GB2312"/>
          <w:sz w:val="28"/>
          <w:szCs w:val="28"/>
        </w:rPr>
        <w:t>PDF</w:t>
      </w:r>
      <w:r>
        <w:rPr>
          <w:rFonts w:hint="eastAsia" w:ascii="仿宋_GB2312" w:hAnsi="仿宋_GB2312" w:eastAsia="仿宋_GB2312" w:cs="仿宋_GB2312"/>
          <w:sz w:val="28"/>
          <w:szCs w:val="28"/>
        </w:rPr>
        <w:t>和</w:t>
      </w:r>
      <w:r>
        <w:rPr>
          <w:rFonts w:ascii="仿宋_GB2312" w:hAnsi="仿宋_GB2312" w:eastAsia="仿宋_GB2312" w:cs="仿宋_GB2312"/>
          <w:sz w:val="28"/>
          <w:szCs w:val="28"/>
        </w:rPr>
        <w:t>OFD</w:t>
      </w:r>
      <w:r>
        <w:rPr>
          <w:rFonts w:hint="eastAsia" w:ascii="仿宋_GB2312" w:hAnsi="仿宋_GB2312" w:eastAsia="仿宋_GB2312" w:cs="仿宋_GB2312"/>
          <w:sz w:val="28"/>
          <w:szCs w:val="28"/>
        </w:rPr>
        <w:t>格式的文档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9230" cy="3512820"/>
            <wp:effectExtent l="0" t="0" r="13970" b="17780"/>
            <wp:docPr id="6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解析失败或者跟数据标准不符合的文件，展示在失败列表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0500" cy="2708910"/>
            <wp:effectExtent l="0" t="0" r="12700" b="8890"/>
            <wp:docPr id="7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1810385</wp:posOffset>
            </wp:positionH>
            <wp:positionV relativeFrom="paragraph">
              <wp:posOffset>158750</wp:posOffset>
            </wp:positionV>
            <wp:extent cx="1567180" cy="470535"/>
            <wp:effectExtent l="0" t="0" r="7620" b="12065"/>
            <wp:wrapNone/>
            <wp:docPr id="20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true"/>
                    </pic:cNvPicPr>
                  </pic:nvPicPr>
                  <pic:blipFill>
                    <a:blip r:embed="rId8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、选择需要导出的文件，可进行实例文档的导出</w:t>
      </w:r>
    </w:p>
    <w:p>
      <w:pPr>
        <w:rPr>
          <w:sz w:val="28"/>
          <w:szCs w:val="28"/>
          <w:lang w:eastAsia="zh-Hans"/>
        </w:rPr>
      </w:pPr>
    </w:p>
    <w:p>
      <w:pPr>
        <w:rPr>
          <w:sz w:val="28"/>
          <w:szCs w:val="28"/>
          <w:lang w:eastAsia="zh-Hans"/>
        </w:rPr>
      </w:pPr>
      <w:r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1731010</wp:posOffset>
            </wp:positionH>
            <wp:positionV relativeFrom="paragraph">
              <wp:posOffset>172085</wp:posOffset>
            </wp:positionV>
            <wp:extent cx="1567180" cy="470535"/>
            <wp:effectExtent l="0" t="0" r="7620" b="12065"/>
            <wp:wrapNone/>
            <wp:docPr id="21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true"/>
                    </pic:cNvPicPr>
                  </pic:nvPicPr>
                  <pic:blipFill>
                    <a:blip r:embed="rId8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inline distT="0" distB="0" distL="114300" distR="114300">
            <wp:extent cx="5167630" cy="3457575"/>
            <wp:effectExtent l="0" t="0" r="13970" b="22225"/>
            <wp:docPr id="11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763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选择要导出的目录</w:t>
      </w:r>
    </w:p>
    <w:p>
      <w:pPr>
        <w:rPr>
          <w:sz w:val="28"/>
          <w:szCs w:val="28"/>
          <w:lang w:eastAsia="zh-Hans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3040" cy="3535680"/>
            <wp:effectExtent l="0" t="0" r="10160" b="20320"/>
            <wp:docPr id="12" name="图片 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1135" cy="3315335"/>
            <wp:effectExtent l="0" t="0" r="12065" b="12065"/>
            <wp:docPr id="13" name="图片 1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true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Hans"/>
        </w:rPr>
      </w:pPr>
    </w:p>
    <w:p>
      <w:pPr>
        <w:numPr>
          <w:ilvl w:val="0"/>
          <w:numId w:val="1"/>
        </w:numPr>
        <w:ind w:firstLine="0"/>
        <w:jc w:val="left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API</w:t>
      </w:r>
    </w:p>
    <w:p>
      <w:pPr>
        <w:ind w:firstLine="425" w:firstLineChars="15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接口地址及操作文档见以下链接：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3"/>
        <w:gridCol w:w="5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接口名称</w:t>
            </w:r>
          </w:p>
        </w:tc>
        <w:tc>
          <w:tcPr>
            <w:tcW w:w="588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接口文档链接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3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解析 + 验签 指定文件的xbrl信息</w:t>
            </w:r>
          </w:p>
        </w:tc>
        <w:tc>
          <w:tcPr>
            <w:tcW w:w="5889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https://app.apifox.com/link/project/3958968/apis/api-145207548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3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xbrl字符串转json</w:t>
            </w:r>
          </w:p>
        </w:tc>
        <w:tc>
          <w:tcPr>
            <w:tcW w:w="5889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https://app.apifox.com/link/project/3958968/apis/api-145211826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33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json转xbrl字符串</w:t>
            </w:r>
          </w:p>
        </w:tc>
        <w:tc>
          <w:tcPr>
            <w:tcW w:w="5889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https://app.apifox.com/link/project/3958968/apis/api-145211827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3" w:type="dxa"/>
          </w:tcPr>
          <w:p>
            <w:pPr>
              <w:widowControl/>
              <w:jc w:val="left"/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获取AccessToken</w:t>
            </w:r>
          </w:p>
        </w:tc>
        <w:tc>
          <w:tcPr>
            <w:tcW w:w="5889" w:type="dxa"/>
          </w:tcPr>
          <w:p>
            <w:pPr>
              <w:widowControl/>
              <w:jc w:val="left"/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ascii="Helvetica Neue" w:hAnsi="Helvetica Neue" w:eastAsia="Helvetica Neue" w:cs="Helvetica Neue"/>
                <w:color w:val="344054"/>
                <w:kern w:val="0"/>
                <w:szCs w:val="21"/>
                <w:shd w:val="clear" w:color="auto" w:fill="FFFFFF"/>
                <w:lang w:bidi="ar"/>
              </w:rPr>
              <w:t>https://app.apifox.com/link/project/3958968/apis/api-144525110</w:t>
            </w:r>
          </w:p>
        </w:tc>
      </w:tr>
    </w:tbl>
    <w:p>
      <w:pPr>
        <w:spacing w:line="588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>针对不同票据类型提供了对应的配置文件进行适配，在使用 API 时需要传入对应的票据类型编号（configId），票据类型编码清单如下表所示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tbl>
      <w:tblPr>
        <w:tblStyle w:val="4"/>
        <w:tblpPr w:leftFromText="180" w:rightFromText="180" w:vertAnchor="text" w:horzAnchor="page" w:tblpX="1911" w:tblpY="2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5316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票据类型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票据类型编号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增值税电子普通发票（开具方）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inv_ord_issuer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增值税电子普通发票（接收方）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inv_ord_receiver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增值税电子专用发票（开具方）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inv_spcl_issuer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4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增值税电子专用发票（接收方）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inv_spcl_receiver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5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电子非税收入一般缴款书（开具方）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ntrev_gpm_issuer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6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电子非税收入一般缴款书（接收方）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ntrev_gpm_receiver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7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电子发票（铁路电子客票）（开具方）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rai_issuer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8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电子发票（铁路电子客票）（接收方）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rai_receiver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9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电子发票（航空运输电子客票行程单）（开具方）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atr_issuer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10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电子发票（航空运输电子客票行程单）（接收方）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atr_receiver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11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银行电子回单（开具方）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bker_issuer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12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银行电子回单（接收方）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bker_receiver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13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银行电子对账单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宋体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bkrs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14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财政电子票据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efi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15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全面数字化的电子发票-普通发票-接收方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einv_ord_receiver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  <w:r>
              <w:rPr>
                <w:rFonts w:ascii="仿宋_GB2312" w:eastAsia="仿宋_GB2312"/>
                <w:sz w:val="21"/>
                <w:szCs w:val="21"/>
              </w:rPr>
              <w:t>6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全面数字化的电子发票-增值税专用发票-接收方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einv_spcl_receiver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19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  <w:r>
              <w:rPr>
                <w:rFonts w:ascii="仿宋_GB2312" w:eastAsia="仿宋_GB2312"/>
                <w:sz w:val="21"/>
                <w:szCs w:val="21"/>
              </w:rPr>
              <w:t>7</w:t>
            </w:r>
          </w:p>
        </w:tc>
        <w:tc>
          <w:tcPr>
            <w:tcW w:w="531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国库集中支付电子凭证</w:t>
            </w:r>
          </w:p>
        </w:tc>
        <w:tc>
          <w:tcPr>
            <w:tcW w:w="210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ctp</w:t>
            </w:r>
          </w:p>
        </w:tc>
      </w:tr>
    </w:tbl>
    <w:p>
      <w:pPr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 Neue">
    <w:altName w:val="DejaVu Math TeX Gyre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9F8B6"/>
    <w:multiLevelType w:val="singleLevel"/>
    <w:tmpl w:val="B049F8B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doNotTrackMoves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7BF29"/>
    <w:rsid w:val="001A49CE"/>
    <w:rsid w:val="004670D6"/>
    <w:rsid w:val="00476C40"/>
    <w:rsid w:val="00706BD1"/>
    <w:rsid w:val="00842D47"/>
    <w:rsid w:val="008914E2"/>
    <w:rsid w:val="008A57DE"/>
    <w:rsid w:val="009B4405"/>
    <w:rsid w:val="00B22B6B"/>
    <w:rsid w:val="00B83215"/>
    <w:rsid w:val="00F05D4D"/>
    <w:rsid w:val="00FC09F0"/>
    <w:rsid w:val="0BFA9496"/>
    <w:rsid w:val="0FF5BC5F"/>
    <w:rsid w:val="0FF9105C"/>
    <w:rsid w:val="2DE7632D"/>
    <w:rsid w:val="2EAF3AF3"/>
    <w:rsid w:val="2FB71DEE"/>
    <w:rsid w:val="32FDCAB1"/>
    <w:rsid w:val="3777BF29"/>
    <w:rsid w:val="39FD3737"/>
    <w:rsid w:val="39FEEED2"/>
    <w:rsid w:val="3B7F8717"/>
    <w:rsid w:val="3BA3D621"/>
    <w:rsid w:val="3F9FB338"/>
    <w:rsid w:val="3FF59150"/>
    <w:rsid w:val="3FF7ADA0"/>
    <w:rsid w:val="3FFBBE20"/>
    <w:rsid w:val="3FFF0B51"/>
    <w:rsid w:val="47ED7B52"/>
    <w:rsid w:val="4DCD3B1D"/>
    <w:rsid w:val="4F187BEE"/>
    <w:rsid w:val="4F3DCCA4"/>
    <w:rsid w:val="53FFC4C0"/>
    <w:rsid w:val="57FF905B"/>
    <w:rsid w:val="5AA700CE"/>
    <w:rsid w:val="5BEF34DE"/>
    <w:rsid w:val="5DAF49A1"/>
    <w:rsid w:val="5DFED364"/>
    <w:rsid w:val="5FDF2CC5"/>
    <w:rsid w:val="5FEF034F"/>
    <w:rsid w:val="5FFDBF38"/>
    <w:rsid w:val="5FFEA084"/>
    <w:rsid w:val="5FFFFDEF"/>
    <w:rsid w:val="65CEC53A"/>
    <w:rsid w:val="669CBCAD"/>
    <w:rsid w:val="67EEADA9"/>
    <w:rsid w:val="69744AD7"/>
    <w:rsid w:val="69DF161E"/>
    <w:rsid w:val="6BFFF53F"/>
    <w:rsid w:val="6C6F258B"/>
    <w:rsid w:val="6DFD491A"/>
    <w:rsid w:val="6EB32C29"/>
    <w:rsid w:val="6EF7F1A7"/>
    <w:rsid w:val="6FE0028C"/>
    <w:rsid w:val="6FFFA27E"/>
    <w:rsid w:val="72FFBE09"/>
    <w:rsid w:val="7367BD90"/>
    <w:rsid w:val="764FF615"/>
    <w:rsid w:val="77BBFAE9"/>
    <w:rsid w:val="77BF0C5B"/>
    <w:rsid w:val="77EFA7FF"/>
    <w:rsid w:val="791FC251"/>
    <w:rsid w:val="7935A3FE"/>
    <w:rsid w:val="7AF3A3E2"/>
    <w:rsid w:val="7AFFE20A"/>
    <w:rsid w:val="7B7F3405"/>
    <w:rsid w:val="7BFD6FD2"/>
    <w:rsid w:val="7BFF10F5"/>
    <w:rsid w:val="7CFBB047"/>
    <w:rsid w:val="7CFF5439"/>
    <w:rsid w:val="7D36870B"/>
    <w:rsid w:val="7DED8D95"/>
    <w:rsid w:val="7DEF6984"/>
    <w:rsid w:val="7DF7302B"/>
    <w:rsid w:val="7DFDC293"/>
    <w:rsid w:val="7E3F2A35"/>
    <w:rsid w:val="7EBEC08D"/>
    <w:rsid w:val="7EBF3DB2"/>
    <w:rsid w:val="7EF876E0"/>
    <w:rsid w:val="7F35717E"/>
    <w:rsid w:val="7F6F1BDD"/>
    <w:rsid w:val="7F6F4122"/>
    <w:rsid w:val="7F77BC51"/>
    <w:rsid w:val="7FBF4A0E"/>
    <w:rsid w:val="7FDA1A47"/>
    <w:rsid w:val="7FFCC06E"/>
    <w:rsid w:val="87EF30B8"/>
    <w:rsid w:val="8BBF19B8"/>
    <w:rsid w:val="8D986535"/>
    <w:rsid w:val="8FABC98E"/>
    <w:rsid w:val="9BFE8496"/>
    <w:rsid w:val="9E6F9CC2"/>
    <w:rsid w:val="9FFBF656"/>
    <w:rsid w:val="AD4F69CF"/>
    <w:rsid w:val="AFF3E518"/>
    <w:rsid w:val="AFF84887"/>
    <w:rsid w:val="B5B7BE31"/>
    <w:rsid w:val="B5DEF241"/>
    <w:rsid w:val="B9FB62ED"/>
    <w:rsid w:val="BBBF25E0"/>
    <w:rsid w:val="BEFD154A"/>
    <w:rsid w:val="BEFF282D"/>
    <w:rsid w:val="BF6E5B9D"/>
    <w:rsid w:val="BF76D2AE"/>
    <w:rsid w:val="BFA68605"/>
    <w:rsid w:val="BFBD2FF9"/>
    <w:rsid w:val="BFED7A33"/>
    <w:rsid w:val="BFFD9C1E"/>
    <w:rsid w:val="C7F6B811"/>
    <w:rsid w:val="CE4EBC5A"/>
    <w:rsid w:val="CEFF6A21"/>
    <w:rsid w:val="D1FFA931"/>
    <w:rsid w:val="D2A39302"/>
    <w:rsid w:val="D3F8F333"/>
    <w:rsid w:val="D3FF20E4"/>
    <w:rsid w:val="D5FBC12A"/>
    <w:rsid w:val="DF6FBD1D"/>
    <w:rsid w:val="DFB6F3E2"/>
    <w:rsid w:val="DFBE4434"/>
    <w:rsid w:val="DFDE8AA3"/>
    <w:rsid w:val="DFF0235B"/>
    <w:rsid w:val="DFF7B91F"/>
    <w:rsid w:val="DFFFB388"/>
    <w:rsid w:val="E0FF6A66"/>
    <w:rsid w:val="E2BF549E"/>
    <w:rsid w:val="E7ED4A52"/>
    <w:rsid w:val="E7F7E9CE"/>
    <w:rsid w:val="EAFF16F3"/>
    <w:rsid w:val="EDB73D85"/>
    <w:rsid w:val="EF73FFB1"/>
    <w:rsid w:val="EF834352"/>
    <w:rsid w:val="EFD5BAD3"/>
    <w:rsid w:val="EFF71112"/>
    <w:rsid w:val="F2EF0C3D"/>
    <w:rsid w:val="F33B5818"/>
    <w:rsid w:val="F3FBD5DE"/>
    <w:rsid w:val="F5F1A07B"/>
    <w:rsid w:val="F5F64486"/>
    <w:rsid w:val="F6EB17CD"/>
    <w:rsid w:val="F6FD4430"/>
    <w:rsid w:val="F76D9B74"/>
    <w:rsid w:val="F7CFF711"/>
    <w:rsid w:val="F9FFD18D"/>
    <w:rsid w:val="FAEF58F7"/>
    <w:rsid w:val="FB6103B2"/>
    <w:rsid w:val="FBEF8120"/>
    <w:rsid w:val="FBFD0DC7"/>
    <w:rsid w:val="FCFB9897"/>
    <w:rsid w:val="FD5B1F35"/>
    <w:rsid w:val="FDBF4EB3"/>
    <w:rsid w:val="FDFBCCE0"/>
    <w:rsid w:val="FDFF5E75"/>
    <w:rsid w:val="FDFF9DD3"/>
    <w:rsid w:val="FDFFCDBD"/>
    <w:rsid w:val="FEBCAACA"/>
    <w:rsid w:val="FF14EA6E"/>
    <w:rsid w:val="FF6C9979"/>
    <w:rsid w:val="FF77A2FA"/>
    <w:rsid w:val="FF7ED499"/>
    <w:rsid w:val="FF7F7294"/>
    <w:rsid w:val="FF9F7C93"/>
    <w:rsid w:val="FFB7EF42"/>
    <w:rsid w:val="FFCB99AE"/>
    <w:rsid w:val="FFCD3484"/>
    <w:rsid w:val="FFCF1675"/>
    <w:rsid w:val="FFCF82A6"/>
    <w:rsid w:val="FFDB3403"/>
    <w:rsid w:val="FFF454E2"/>
    <w:rsid w:val="FFFF8025"/>
    <w:rsid w:val="FFFFE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widowControl/>
      <w:spacing w:line="259" w:lineRule="auto"/>
      <w:ind w:firstLine="420" w:firstLineChars="200"/>
      <w:jc w:val="left"/>
    </w:pPr>
    <w:rPr>
      <w:rFonts w:ascii="宋体" w:hAnsi="Calibri" w:eastAsia="宋体" w:cs="Calibri"/>
      <w:color w:val="000000"/>
      <w:sz w:val="22"/>
      <w:szCs w:val="22"/>
    </w:rPr>
  </w:style>
  <w:style w:type="paragraph" w:customStyle="1" w:styleId="9">
    <w:name w:val="修订1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897</Words>
  <Characters>1168</Characters>
  <Lines>146</Lines>
  <Paragraphs>114</Paragraphs>
  <TotalTime>2</TotalTime>
  <ScaleCrop>false</ScaleCrop>
  <LinksUpToDate>false</LinksUpToDate>
  <CharactersWithSpaces>1951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2025-04-09T19:53:00Z</dcterms:created>
  <dc:creator>周扬Yann</dc:creator>
  <cp:lastModifiedBy>LRJ</cp:lastModifiedBy>
  <dcterms:modified xsi:type="dcterms:W3CDTF">2025-04-10T16:08:03Z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6B54701394446AAF2A9C5C64B36F033E_41</vt:lpwstr>
  </property>
</Properties>
</file>