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E2625">
      <w:pPr>
        <w:spacing w:line="578" w:lineRule="exact"/>
        <w:jc w:val="center"/>
        <w:rPr>
          <w:rFonts w:hint="eastAsia" w:ascii="方正小标宋_GBK" w:hAnsi="仿宋_GB2312" w:eastAsia="方正小标宋_GBK" w:cs="仿宋_GB2312"/>
          <w:bCs/>
          <w:color w:val="000000"/>
          <w:kern w:val="0"/>
          <w:sz w:val="44"/>
          <w:szCs w:val="44"/>
        </w:rPr>
      </w:pPr>
      <w:r>
        <w:rPr>
          <w:rFonts w:hint="eastAsia" w:ascii="方正小标宋_GBK" w:hAnsi="仿宋_GB2312" w:eastAsia="方正小标宋_GBK" w:cs="仿宋_GB2312"/>
          <w:bCs/>
          <w:color w:val="000000"/>
          <w:kern w:val="0"/>
          <w:sz w:val="44"/>
          <w:szCs w:val="44"/>
        </w:rPr>
        <w:t>重庆市会计师事务所</w:t>
      </w:r>
    </w:p>
    <w:p w14:paraId="78C31C40">
      <w:pPr>
        <w:spacing w:line="578" w:lineRule="exact"/>
        <w:jc w:val="center"/>
        <w:rPr>
          <w:rFonts w:hint="eastAsia" w:ascii="方正小标宋_GBK" w:hAnsi="仿宋_GB2312" w:eastAsia="方正小标宋_GBK" w:cs="仿宋_GB2312"/>
          <w:bCs/>
          <w:color w:val="000000"/>
          <w:kern w:val="0"/>
          <w:sz w:val="44"/>
          <w:szCs w:val="44"/>
        </w:rPr>
      </w:pPr>
      <w:r>
        <w:rPr>
          <w:rFonts w:hint="eastAsia" w:ascii="方正小标宋_GBK" w:hAnsi="仿宋_GB2312" w:eastAsia="方正小标宋_GBK" w:cs="仿宋_GB2312"/>
          <w:bCs/>
          <w:color w:val="000000"/>
          <w:kern w:val="0"/>
          <w:sz w:val="44"/>
          <w:szCs w:val="44"/>
        </w:rPr>
        <w:t>执业质量评价管理暂行办法</w:t>
      </w:r>
    </w:p>
    <w:p w14:paraId="0C805791">
      <w:pPr>
        <w:spacing w:line="578" w:lineRule="exact"/>
        <w:rPr>
          <w:rFonts w:hint="eastAsia" w:ascii="方正仿宋_GBK" w:hAnsi="仿宋_GB2312" w:eastAsia="方正仿宋_GBK" w:cs="仿宋_GB2312"/>
          <w:b/>
          <w:color w:val="000000"/>
          <w:kern w:val="0"/>
          <w:sz w:val="32"/>
          <w:szCs w:val="32"/>
        </w:rPr>
      </w:pPr>
    </w:p>
    <w:p w14:paraId="32ABFD9D">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黑体_GBK" w:hAnsi="仿宋_GB2312" w:eastAsia="方正黑体_GBK" w:cs="仿宋_GB2312"/>
          <w:color w:val="000000"/>
          <w:kern w:val="0"/>
          <w:sz w:val="32"/>
          <w:szCs w:val="32"/>
        </w:rPr>
        <w:t>第一条</w:t>
      </w:r>
      <w:r>
        <w:rPr>
          <w:rFonts w:hint="eastAsia" w:ascii="方正仿宋_GBK" w:hAnsi="仿宋_GB2312" w:eastAsia="方正仿宋_GBK" w:cs="仿宋_GB2312"/>
          <w:color w:val="000000"/>
          <w:kern w:val="0"/>
          <w:sz w:val="32"/>
          <w:szCs w:val="32"/>
        </w:rPr>
        <w:t xml:space="preserve"> 为贯彻落实《关于进一步规范财务审计秩序促进注册会计师行业健康发展的意见》《关于进一步加强财会监督工作的意见》要求，促进我市会计师事务所规范执业，有效防范执业风险，持续提升质量管理水平，推动注册会计师行业高质量发展，制定本办法。</w:t>
      </w:r>
    </w:p>
    <w:p w14:paraId="0B2D42C2">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黑体_GBK" w:hAnsi="仿宋_GB2312" w:eastAsia="方正黑体_GBK" w:cs="仿宋_GB2312"/>
          <w:color w:val="000000"/>
          <w:kern w:val="0"/>
          <w:sz w:val="32"/>
          <w:szCs w:val="32"/>
        </w:rPr>
        <w:t>第二条</w:t>
      </w:r>
      <w:r>
        <w:rPr>
          <w:rFonts w:hint="eastAsia" w:ascii="方正仿宋_GBK" w:hAnsi="仿宋_GB2312" w:eastAsia="方正仿宋_GBK" w:cs="仿宋_GB2312"/>
          <w:color w:val="000000"/>
          <w:kern w:val="0"/>
          <w:sz w:val="32"/>
          <w:szCs w:val="32"/>
        </w:rPr>
        <w:t xml:space="preserve"> 本办法适用于在重庆市行政区域内合法设立的会计师事务所（含分所，以下简称“事务所”)。</w:t>
      </w:r>
    </w:p>
    <w:p w14:paraId="6266D455">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黑体_GBK" w:hAnsi="仿宋_GB2312" w:eastAsia="方正黑体_GBK" w:cs="仿宋_GB2312"/>
          <w:color w:val="000000"/>
          <w:kern w:val="0"/>
          <w:sz w:val="32"/>
          <w:szCs w:val="32"/>
        </w:rPr>
        <w:t>第三条</w:t>
      </w:r>
      <w:r>
        <w:rPr>
          <w:rFonts w:hint="eastAsia" w:ascii="方正仿宋_GBK" w:hAnsi="仿宋_GB2312" w:eastAsia="方正仿宋_GBK" w:cs="仿宋_GB2312"/>
          <w:color w:val="000000"/>
          <w:kern w:val="0"/>
          <w:sz w:val="32"/>
          <w:szCs w:val="32"/>
        </w:rPr>
        <w:t xml:space="preserve"> 事务所执业质量评价，是指由重庆市注册会计师协会（以下简称“市注协”）组织行业专业人员对我市会计师事务所的质量管理体系和项目质量情况进行评价，根据质量管理体系建立健全、项目质量情况进行评分，并按一定计算规则得出事务所的执业质量评价结果，反映该事务所整体的执业质量情况。</w:t>
      </w:r>
    </w:p>
    <w:p w14:paraId="1DECA223">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市注协每年实施的执业质量检查资料和底稿，可以作为事务所评价的基础数据直接使用。</w:t>
      </w:r>
    </w:p>
    <w:p w14:paraId="1A14E9B7">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黑体_GBK" w:hAnsi="仿宋_GB2312" w:eastAsia="方正黑体_GBK" w:cs="仿宋_GB2312"/>
          <w:color w:val="000000"/>
          <w:kern w:val="0"/>
          <w:sz w:val="32"/>
          <w:szCs w:val="32"/>
        </w:rPr>
        <w:t>第四条</w:t>
      </w:r>
      <w:r>
        <w:rPr>
          <w:rFonts w:hint="eastAsia" w:ascii="方正仿宋_GBK" w:hAnsi="仿宋_GB2312" w:eastAsia="方正仿宋_GBK" w:cs="仿宋_GB2312"/>
          <w:color w:val="000000"/>
          <w:kern w:val="0"/>
          <w:sz w:val="32"/>
          <w:szCs w:val="32"/>
        </w:rPr>
        <w:t xml:space="preserve"> 事务所执业质量评价应当遵循依法依规、客观公正、公开透明的原则。</w:t>
      </w:r>
    </w:p>
    <w:p w14:paraId="2F56D285">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黑体_GBK" w:hAnsi="仿宋_GB2312" w:eastAsia="方正黑体_GBK" w:cs="仿宋_GB2312"/>
          <w:color w:val="000000"/>
          <w:kern w:val="0"/>
          <w:sz w:val="32"/>
          <w:szCs w:val="32"/>
        </w:rPr>
        <w:t>第五条</w:t>
      </w:r>
      <w:r>
        <w:rPr>
          <w:rFonts w:hint="eastAsia" w:ascii="方正仿宋_GBK" w:hAnsi="仿宋_GB2312" w:eastAsia="方正仿宋_GBK" w:cs="仿宋_GB2312"/>
          <w:color w:val="000000"/>
          <w:kern w:val="0"/>
          <w:sz w:val="32"/>
          <w:szCs w:val="32"/>
        </w:rPr>
        <w:t xml:space="preserve"> 市注协应当合理选择和确定评价人员，组成执业质量评价组。评价组应当由不少于</w:t>
      </w:r>
      <w:r>
        <w:rPr>
          <w:rFonts w:hint="eastAsia" w:ascii="Times New Roman" w:hAnsi="Times New Roman" w:eastAsia="方正仿宋_GBK" w:cs="仿宋_GB2312"/>
          <w:color w:val="000000"/>
          <w:kern w:val="0"/>
          <w:sz w:val="32"/>
          <w:szCs w:val="32"/>
        </w:rPr>
        <w:t>3</w:t>
      </w:r>
      <w:r>
        <w:rPr>
          <w:rFonts w:hint="eastAsia" w:ascii="方正仿宋_GBK" w:hAnsi="仿宋_GB2312" w:eastAsia="方正仿宋_GBK" w:cs="仿宋_GB2312"/>
          <w:color w:val="000000"/>
          <w:kern w:val="0"/>
          <w:sz w:val="32"/>
          <w:szCs w:val="32"/>
        </w:rPr>
        <w:t>名成员组成，实行组长负责制。评价组受市注协委派，在市注协授权范围内开展评价工作。</w:t>
      </w:r>
    </w:p>
    <w:p w14:paraId="30D70545">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评价人员应当由职业道德好、专业素质高、实践经验丰富的注册会计师担任。担任评价人员的注册会计师应当同时具备下列基本条件：</w:t>
      </w:r>
    </w:p>
    <w:p w14:paraId="43F1F072">
      <w:pPr>
        <w:spacing w:line="578" w:lineRule="exact"/>
        <w:ind w:firstLine="537" w:firstLineChars="168"/>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（一）担任或曾经担任事务所项目负责人以上职务；</w:t>
      </w:r>
    </w:p>
    <w:p w14:paraId="33A23116">
      <w:pPr>
        <w:spacing w:line="578" w:lineRule="exact"/>
        <w:ind w:firstLine="537" w:firstLineChars="168"/>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（二）注册会计师注册时间</w:t>
      </w:r>
      <w:r>
        <w:rPr>
          <w:rFonts w:hint="eastAsia" w:ascii="Times New Roman" w:hAnsi="Times New Roman" w:eastAsia="方正仿宋_GBK" w:cs="仿宋_GB2312"/>
          <w:color w:val="000000"/>
          <w:kern w:val="0"/>
          <w:sz w:val="32"/>
          <w:szCs w:val="32"/>
        </w:rPr>
        <w:t>5</w:t>
      </w:r>
      <w:r>
        <w:rPr>
          <w:rFonts w:hint="eastAsia" w:ascii="方正仿宋_GBK" w:hAnsi="仿宋_GB2312" w:eastAsia="方正仿宋_GBK" w:cs="仿宋_GB2312"/>
          <w:color w:val="000000"/>
          <w:kern w:val="0"/>
          <w:sz w:val="32"/>
          <w:szCs w:val="32"/>
        </w:rPr>
        <w:t>年以上；</w:t>
      </w:r>
    </w:p>
    <w:p w14:paraId="7041F381">
      <w:pPr>
        <w:spacing w:line="578" w:lineRule="exact"/>
        <w:ind w:firstLine="537" w:firstLineChars="168"/>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（三）没有因执业违规行为受到行业惩戒、行政处罚或刑事处罚。</w:t>
      </w:r>
    </w:p>
    <w:p w14:paraId="2D2785E3">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评价人员与被评价事务所有利害关系的，应当予以回避。</w:t>
      </w:r>
    </w:p>
    <w:p w14:paraId="60483034">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黑体_GBK" w:hAnsi="仿宋_GB2312" w:eastAsia="方正黑体_GBK" w:cs="仿宋_GB2312"/>
          <w:color w:val="000000"/>
          <w:kern w:val="0"/>
          <w:sz w:val="32"/>
          <w:szCs w:val="32"/>
        </w:rPr>
        <w:t>第六条</w:t>
      </w:r>
      <w:r>
        <w:rPr>
          <w:rFonts w:hint="eastAsia" w:ascii="方正仿宋_GBK" w:hAnsi="仿宋_GB2312" w:eastAsia="方正仿宋_GBK" w:cs="仿宋_GB2312"/>
          <w:color w:val="000000"/>
          <w:kern w:val="0"/>
          <w:sz w:val="32"/>
          <w:szCs w:val="32"/>
        </w:rPr>
        <w:t xml:space="preserve"> 执业质量评价组实施评价过程中，可以调阅、复制事务所有关管理制度、文件、记录、工作底稿及相关资料，向事务所负责人、当事人及注册会计师询问、核实有关情况。被评价事务所和注册会计师应当积极配合。</w:t>
      </w:r>
    </w:p>
    <w:p w14:paraId="4C6E1375">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评价小组在评价中发现的问题应与被评价事务所书面交换意见。</w:t>
      </w:r>
    </w:p>
    <w:p w14:paraId="35ED3DCE">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黑体_GBK" w:hAnsi="仿宋_GB2312" w:eastAsia="方正黑体_GBK" w:cs="仿宋_GB2312"/>
          <w:color w:val="000000"/>
          <w:kern w:val="0"/>
          <w:sz w:val="32"/>
          <w:szCs w:val="32"/>
        </w:rPr>
        <w:t>第七条</w:t>
      </w:r>
      <w:r>
        <w:rPr>
          <w:rFonts w:hint="eastAsia" w:ascii="方正仿宋_GBK" w:hAnsi="仿宋_GB2312" w:eastAsia="方正仿宋_GBK" w:cs="仿宋_GB2312"/>
          <w:color w:val="000000"/>
          <w:kern w:val="0"/>
          <w:sz w:val="32"/>
          <w:szCs w:val="32"/>
        </w:rPr>
        <w:t xml:space="preserve"> 执业质量评价建立专家咨询、复核制度，成立专家咨询复核组。</w:t>
      </w:r>
    </w:p>
    <w:p w14:paraId="6968DA8E">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专家咨询复核组主要由事务所负责技术、质量管理的合伙人或专业技术委员会委员组成，人数不少于</w:t>
      </w:r>
      <w:r>
        <w:rPr>
          <w:rFonts w:hint="eastAsia" w:ascii="Times New Roman" w:hAnsi="Times New Roman" w:eastAsia="方正仿宋_GBK" w:cs="仿宋_GB2312"/>
          <w:color w:val="000000"/>
          <w:kern w:val="0"/>
          <w:sz w:val="32"/>
          <w:szCs w:val="32"/>
        </w:rPr>
        <w:t>2</w:t>
      </w:r>
      <w:r>
        <w:rPr>
          <w:rFonts w:hint="eastAsia" w:ascii="方正仿宋_GBK" w:hAnsi="仿宋_GB2312" w:eastAsia="方正仿宋_GBK" w:cs="仿宋_GB2312"/>
          <w:color w:val="000000"/>
          <w:kern w:val="0"/>
          <w:sz w:val="32"/>
          <w:szCs w:val="32"/>
        </w:rPr>
        <w:t>人。</w:t>
      </w:r>
    </w:p>
    <w:p w14:paraId="769567CD">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专家咨询复核组的职责是：</w:t>
      </w:r>
    </w:p>
    <w:p w14:paraId="5CBC2B17">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（一）在评价质量管理体系和项目报告时，对评价组遇到的疑难问题提供技术咨询，为评价组提供技术支持；</w:t>
      </w:r>
    </w:p>
    <w:p w14:paraId="39CE08DE">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（二）现场评价结束后，参与初步评价结果论证工作，复核评价底稿及评价结果。</w:t>
      </w:r>
    </w:p>
    <w:p w14:paraId="3036FBA0">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黑体_GBK" w:hAnsi="仿宋_GB2312" w:eastAsia="方正黑体_GBK" w:cs="仿宋_GB2312"/>
          <w:color w:val="000000"/>
          <w:kern w:val="0"/>
          <w:sz w:val="32"/>
          <w:szCs w:val="32"/>
        </w:rPr>
        <w:t>第八条</w:t>
      </w:r>
      <w:r>
        <w:rPr>
          <w:rFonts w:hint="eastAsia" w:ascii="方正仿宋_GBK" w:hAnsi="仿宋_GB2312" w:eastAsia="方正仿宋_GBK" w:cs="仿宋_GB2312"/>
          <w:color w:val="000000"/>
          <w:kern w:val="0"/>
          <w:sz w:val="32"/>
          <w:szCs w:val="32"/>
        </w:rPr>
        <w:t xml:space="preserve"> 参与评价工作的工作人员应当严格履行保密义务，对评价工作过程中涉及的资料、数据负有保密责任，不得以任何方式泄露事务所及客户的商业秘密。</w:t>
      </w:r>
    </w:p>
    <w:p w14:paraId="485FEDD6">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黑体_GBK" w:hAnsi="仿宋_GB2312" w:eastAsia="方正黑体_GBK" w:cs="仿宋_GB2312"/>
          <w:color w:val="000000"/>
          <w:kern w:val="0"/>
          <w:sz w:val="32"/>
          <w:szCs w:val="32"/>
        </w:rPr>
        <w:t>第九条</w:t>
      </w:r>
      <w:r>
        <w:rPr>
          <w:rFonts w:hint="eastAsia" w:ascii="方正仿宋_GBK" w:hAnsi="仿宋_GB2312" w:eastAsia="方正仿宋_GBK" w:cs="仿宋_GB2312"/>
          <w:color w:val="000000"/>
          <w:kern w:val="0"/>
          <w:sz w:val="32"/>
          <w:szCs w:val="32"/>
        </w:rPr>
        <w:t xml:space="preserve"> 执业质量评价按以下程序进行：</w:t>
      </w:r>
    </w:p>
    <w:p w14:paraId="2333F3E0">
      <w:pPr>
        <w:spacing w:line="578" w:lineRule="exact"/>
        <w:ind w:firstLine="640" w:firstLineChars="200"/>
        <w:rPr>
          <w:rFonts w:hint="eastAsia" w:ascii="方正楷体_GBK" w:hAnsi="仿宋_GB2312" w:eastAsia="方正楷体_GBK" w:cs="仿宋_GB2312"/>
          <w:color w:val="000000"/>
          <w:kern w:val="0"/>
          <w:sz w:val="32"/>
          <w:szCs w:val="32"/>
        </w:rPr>
      </w:pPr>
      <w:r>
        <w:rPr>
          <w:rFonts w:hint="eastAsia" w:ascii="方正楷体_GBK" w:hAnsi="仿宋_GB2312" w:eastAsia="方正楷体_GBK" w:cs="仿宋_GB2312"/>
          <w:color w:val="000000"/>
          <w:kern w:val="0"/>
          <w:sz w:val="32"/>
          <w:szCs w:val="32"/>
        </w:rPr>
        <w:t>（一）质量管理体系评价</w:t>
      </w:r>
    </w:p>
    <w:p w14:paraId="1B1F96A5">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对被评价事务所质量管理体系的建立健全情况进行调查，从</w:t>
      </w:r>
      <w:bookmarkStart w:id="0" w:name="OLE_LINK1"/>
      <w:r>
        <w:rPr>
          <w:rFonts w:hint="eastAsia" w:ascii="方正仿宋_GBK" w:hAnsi="仿宋_GB2312" w:eastAsia="方正仿宋_GBK" w:cs="仿宋_GB2312"/>
          <w:color w:val="000000"/>
          <w:kern w:val="0"/>
          <w:sz w:val="32"/>
          <w:szCs w:val="32"/>
        </w:rPr>
        <w:t>风险评估程序、治理和管理层、相关职业道德要求、客户关系和具体业务的接受与保持、业务执行、资源、信息与沟通、监控和整改程序</w:t>
      </w:r>
      <w:bookmarkEnd w:id="0"/>
      <w:r>
        <w:rPr>
          <w:rFonts w:hint="eastAsia" w:ascii="方正仿宋_GBK" w:hAnsi="仿宋_GB2312" w:eastAsia="方正仿宋_GBK" w:cs="仿宋_GB2312"/>
          <w:color w:val="000000"/>
          <w:kern w:val="0"/>
          <w:sz w:val="32"/>
          <w:szCs w:val="32"/>
        </w:rPr>
        <w:t>等八个方面对质量管理体系全面进行了解和测试，根据其完善性、适用性、有效性进行评分（各要素检查工作底稿详见“附件一：会计师事务所质量管理体系评价工作底稿”）</w:t>
      </w:r>
    </w:p>
    <w:p w14:paraId="25E2E93F">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质量管理体系各要素权重如下：</w:t>
      </w:r>
    </w:p>
    <w:tbl>
      <w:tblPr>
        <w:tblStyle w:val="15"/>
        <w:tblW w:w="6849" w:type="dxa"/>
        <w:tblInd w:w="99" w:type="dxa"/>
        <w:tblLayout w:type="autofit"/>
        <w:tblCellMar>
          <w:top w:w="0" w:type="dxa"/>
          <w:left w:w="108" w:type="dxa"/>
          <w:bottom w:w="0" w:type="dxa"/>
          <w:right w:w="108" w:type="dxa"/>
        </w:tblCellMar>
      </w:tblPr>
      <w:tblGrid>
        <w:gridCol w:w="4689"/>
        <w:gridCol w:w="2160"/>
      </w:tblGrid>
      <w:tr w14:paraId="091356D0">
        <w:tblPrEx>
          <w:tblCellMar>
            <w:top w:w="0" w:type="dxa"/>
            <w:left w:w="108" w:type="dxa"/>
            <w:bottom w:w="0" w:type="dxa"/>
            <w:right w:w="108" w:type="dxa"/>
          </w:tblCellMar>
        </w:tblPrEx>
        <w:trPr>
          <w:trHeight w:val="441" w:hRule="atLeast"/>
          <w:tblHeader/>
        </w:trPr>
        <w:tc>
          <w:tcPr>
            <w:tcW w:w="4689" w:type="dxa"/>
            <w:tcBorders>
              <w:top w:val="single" w:color="auto" w:sz="4" w:space="0"/>
              <w:left w:val="single" w:color="auto" w:sz="4" w:space="0"/>
              <w:bottom w:val="single" w:color="auto" w:sz="4" w:space="0"/>
              <w:right w:val="single" w:color="auto" w:sz="4" w:space="0"/>
            </w:tcBorders>
            <w:noWrap/>
            <w:vAlign w:val="center"/>
          </w:tcPr>
          <w:p w14:paraId="0D1ADD4C">
            <w:pPr>
              <w:widowControl/>
              <w:spacing w:line="578" w:lineRule="exact"/>
              <w:jc w:val="center"/>
              <w:rPr>
                <w:rFonts w:hint="eastAsia" w:ascii="方正黑体_GBK" w:hAnsi="仿宋" w:eastAsia="方正黑体_GBK" w:cs="宋体"/>
                <w:kern w:val="0"/>
                <w:sz w:val="32"/>
                <w:szCs w:val="32"/>
              </w:rPr>
            </w:pPr>
            <w:r>
              <w:rPr>
                <w:rFonts w:hint="eastAsia" w:ascii="方正黑体_GBK" w:hAnsi="仿宋" w:eastAsia="方正黑体_GBK" w:cs="宋体"/>
                <w:kern w:val="0"/>
                <w:sz w:val="32"/>
                <w:szCs w:val="32"/>
              </w:rPr>
              <w:t>要 素</w:t>
            </w:r>
          </w:p>
        </w:tc>
        <w:tc>
          <w:tcPr>
            <w:tcW w:w="2160" w:type="dxa"/>
            <w:tcBorders>
              <w:top w:val="single" w:color="auto" w:sz="4" w:space="0"/>
              <w:left w:val="nil"/>
              <w:bottom w:val="single" w:color="auto" w:sz="4" w:space="0"/>
              <w:right w:val="single" w:color="auto" w:sz="4" w:space="0"/>
            </w:tcBorders>
            <w:noWrap/>
            <w:vAlign w:val="center"/>
          </w:tcPr>
          <w:p w14:paraId="5AA8640E">
            <w:pPr>
              <w:widowControl/>
              <w:spacing w:line="578" w:lineRule="exact"/>
              <w:jc w:val="center"/>
              <w:rPr>
                <w:rFonts w:hint="eastAsia" w:ascii="方正黑体_GBK" w:hAnsi="仿宋" w:eastAsia="方正黑体_GBK" w:cs="宋体"/>
                <w:kern w:val="0"/>
                <w:sz w:val="32"/>
                <w:szCs w:val="32"/>
              </w:rPr>
            </w:pPr>
            <w:r>
              <w:rPr>
                <w:rFonts w:hint="eastAsia" w:ascii="方正黑体_GBK" w:hAnsi="仿宋" w:eastAsia="方正黑体_GBK" w:cs="宋体"/>
                <w:kern w:val="0"/>
                <w:sz w:val="32"/>
                <w:szCs w:val="32"/>
              </w:rPr>
              <w:t>权重（%）</w:t>
            </w:r>
          </w:p>
        </w:tc>
      </w:tr>
      <w:tr w14:paraId="5F803137">
        <w:tblPrEx>
          <w:tblCellMar>
            <w:top w:w="0" w:type="dxa"/>
            <w:left w:w="108" w:type="dxa"/>
            <w:bottom w:w="0" w:type="dxa"/>
            <w:right w:w="108" w:type="dxa"/>
          </w:tblCellMar>
        </w:tblPrEx>
        <w:trPr>
          <w:trHeight w:val="441" w:hRule="atLeast"/>
        </w:trPr>
        <w:tc>
          <w:tcPr>
            <w:tcW w:w="4689" w:type="dxa"/>
            <w:tcBorders>
              <w:top w:val="nil"/>
              <w:left w:val="single" w:color="auto" w:sz="4" w:space="0"/>
              <w:bottom w:val="single" w:color="auto" w:sz="4" w:space="0"/>
              <w:right w:val="single" w:color="auto" w:sz="4" w:space="0"/>
            </w:tcBorders>
            <w:noWrap/>
            <w:vAlign w:val="center"/>
          </w:tcPr>
          <w:p w14:paraId="45F6285A">
            <w:pPr>
              <w:widowControl/>
              <w:spacing w:line="578" w:lineRule="exact"/>
              <w:jc w:val="center"/>
              <w:rPr>
                <w:rFonts w:hint="eastAsia" w:ascii="方正仿宋_GBK" w:hAnsi="仿宋" w:eastAsia="方正仿宋_GBK" w:cs="宋体"/>
                <w:kern w:val="0"/>
                <w:sz w:val="28"/>
                <w:szCs w:val="28"/>
              </w:rPr>
            </w:pPr>
            <w:r>
              <w:rPr>
                <w:rFonts w:hint="eastAsia" w:ascii="方正仿宋_GBK" w:hAnsi="仿宋" w:eastAsia="方正仿宋_GBK" w:cs="宋体"/>
                <w:kern w:val="0"/>
                <w:sz w:val="28"/>
                <w:szCs w:val="28"/>
              </w:rPr>
              <w:t>风险评估程序</w:t>
            </w:r>
          </w:p>
        </w:tc>
        <w:tc>
          <w:tcPr>
            <w:tcW w:w="2160" w:type="dxa"/>
            <w:tcBorders>
              <w:top w:val="nil"/>
              <w:left w:val="nil"/>
              <w:bottom w:val="single" w:color="auto" w:sz="4" w:space="0"/>
              <w:right w:val="single" w:color="auto" w:sz="4" w:space="0"/>
            </w:tcBorders>
            <w:noWrap/>
            <w:vAlign w:val="center"/>
          </w:tcPr>
          <w:p w14:paraId="0F76E6C8">
            <w:pPr>
              <w:widowControl/>
              <w:spacing w:line="578"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10</w:t>
            </w:r>
          </w:p>
        </w:tc>
      </w:tr>
      <w:tr w14:paraId="5AA5A622">
        <w:tblPrEx>
          <w:tblCellMar>
            <w:top w:w="0" w:type="dxa"/>
            <w:left w:w="108" w:type="dxa"/>
            <w:bottom w:w="0" w:type="dxa"/>
            <w:right w:w="108" w:type="dxa"/>
          </w:tblCellMar>
        </w:tblPrEx>
        <w:trPr>
          <w:trHeight w:val="441" w:hRule="atLeast"/>
        </w:trPr>
        <w:tc>
          <w:tcPr>
            <w:tcW w:w="4689" w:type="dxa"/>
            <w:tcBorders>
              <w:top w:val="nil"/>
              <w:left w:val="single" w:color="auto" w:sz="4" w:space="0"/>
              <w:bottom w:val="single" w:color="auto" w:sz="4" w:space="0"/>
              <w:right w:val="single" w:color="auto" w:sz="4" w:space="0"/>
            </w:tcBorders>
            <w:noWrap/>
            <w:vAlign w:val="center"/>
          </w:tcPr>
          <w:p w14:paraId="53ECEB6A">
            <w:pPr>
              <w:widowControl/>
              <w:spacing w:line="578" w:lineRule="exact"/>
              <w:jc w:val="center"/>
              <w:rPr>
                <w:rFonts w:hint="eastAsia" w:ascii="方正仿宋_GBK" w:hAnsi="仿宋" w:eastAsia="方正仿宋_GBK" w:cs="宋体"/>
                <w:kern w:val="0"/>
                <w:sz w:val="28"/>
                <w:szCs w:val="28"/>
              </w:rPr>
            </w:pPr>
            <w:r>
              <w:rPr>
                <w:rFonts w:hint="eastAsia" w:ascii="方正仿宋_GBK" w:hAnsi="仿宋" w:eastAsia="方正仿宋_GBK" w:cs="宋体"/>
                <w:kern w:val="0"/>
                <w:sz w:val="28"/>
                <w:szCs w:val="28"/>
              </w:rPr>
              <w:t>治理和管理层</w:t>
            </w:r>
          </w:p>
        </w:tc>
        <w:tc>
          <w:tcPr>
            <w:tcW w:w="2160" w:type="dxa"/>
            <w:tcBorders>
              <w:top w:val="nil"/>
              <w:left w:val="nil"/>
              <w:bottom w:val="single" w:color="auto" w:sz="4" w:space="0"/>
              <w:right w:val="single" w:color="auto" w:sz="4" w:space="0"/>
            </w:tcBorders>
            <w:noWrap/>
            <w:vAlign w:val="center"/>
          </w:tcPr>
          <w:p w14:paraId="43101295">
            <w:pPr>
              <w:widowControl/>
              <w:spacing w:line="578"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25</w:t>
            </w:r>
          </w:p>
        </w:tc>
      </w:tr>
      <w:tr w14:paraId="43990330">
        <w:tblPrEx>
          <w:tblCellMar>
            <w:top w:w="0" w:type="dxa"/>
            <w:left w:w="108" w:type="dxa"/>
            <w:bottom w:w="0" w:type="dxa"/>
            <w:right w:w="108" w:type="dxa"/>
          </w:tblCellMar>
        </w:tblPrEx>
        <w:trPr>
          <w:trHeight w:val="441" w:hRule="atLeast"/>
        </w:trPr>
        <w:tc>
          <w:tcPr>
            <w:tcW w:w="4689" w:type="dxa"/>
            <w:tcBorders>
              <w:top w:val="nil"/>
              <w:left w:val="single" w:color="auto" w:sz="4" w:space="0"/>
              <w:bottom w:val="single" w:color="auto" w:sz="4" w:space="0"/>
              <w:right w:val="single" w:color="auto" w:sz="4" w:space="0"/>
            </w:tcBorders>
            <w:noWrap/>
            <w:vAlign w:val="center"/>
          </w:tcPr>
          <w:p w14:paraId="1FE3558C">
            <w:pPr>
              <w:widowControl/>
              <w:spacing w:line="578" w:lineRule="exact"/>
              <w:jc w:val="center"/>
              <w:rPr>
                <w:rFonts w:hint="eastAsia" w:ascii="方正仿宋_GBK" w:hAnsi="仿宋" w:eastAsia="方正仿宋_GBK" w:cs="宋体"/>
                <w:kern w:val="0"/>
                <w:sz w:val="28"/>
                <w:szCs w:val="28"/>
              </w:rPr>
            </w:pPr>
            <w:r>
              <w:rPr>
                <w:rFonts w:hint="eastAsia" w:ascii="方正仿宋_GBK" w:hAnsi="仿宋" w:eastAsia="方正仿宋_GBK" w:cs="宋体"/>
                <w:kern w:val="0"/>
                <w:sz w:val="28"/>
                <w:szCs w:val="28"/>
              </w:rPr>
              <w:t>相关职业道德要求</w:t>
            </w:r>
          </w:p>
        </w:tc>
        <w:tc>
          <w:tcPr>
            <w:tcW w:w="2160" w:type="dxa"/>
            <w:tcBorders>
              <w:top w:val="nil"/>
              <w:left w:val="nil"/>
              <w:bottom w:val="single" w:color="auto" w:sz="4" w:space="0"/>
              <w:right w:val="single" w:color="auto" w:sz="4" w:space="0"/>
            </w:tcBorders>
            <w:noWrap/>
            <w:vAlign w:val="center"/>
          </w:tcPr>
          <w:p w14:paraId="6F55A49D">
            <w:pPr>
              <w:widowControl/>
              <w:spacing w:line="578"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10</w:t>
            </w:r>
          </w:p>
        </w:tc>
      </w:tr>
      <w:tr w14:paraId="4E95AE7C">
        <w:tblPrEx>
          <w:tblCellMar>
            <w:top w:w="0" w:type="dxa"/>
            <w:left w:w="108" w:type="dxa"/>
            <w:bottom w:w="0" w:type="dxa"/>
            <w:right w:w="108" w:type="dxa"/>
          </w:tblCellMar>
        </w:tblPrEx>
        <w:trPr>
          <w:trHeight w:val="441" w:hRule="atLeast"/>
        </w:trPr>
        <w:tc>
          <w:tcPr>
            <w:tcW w:w="4689" w:type="dxa"/>
            <w:tcBorders>
              <w:top w:val="nil"/>
              <w:left w:val="single" w:color="auto" w:sz="4" w:space="0"/>
              <w:bottom w:val="single" w:color="auto" w:sz="4" w:space="0"/>
              <w:right w:val="single" w:color="auto" w:sz="4" w:space="0"/>
            </w:tcBorders>
            <w:noWrap/>
            <w:vAlign w:val="center"/>
          </w:tcPr>
          <w:p w14:paraId="601C0E7E">
            <w:pPr>
              <w:widowControl/>
              <w:spacing w:line="578" w:lineRule="exact"/>
              <w:jc w:val="center"/>
              <w:rPr>
                <w:rFonts w:hint="eastAsia" w:ascii="方正仿宋_GBK" w:hAnsi="仿宋" w:eastAsia="方正仿宋_GBK" w:cs="宋体"/>
                <w:kern w:val="0"/>
                <w:sz w:val="28"/>
                <w:szCs w:val="28"/>
              </w:rPr>
            </w:pPr>
            <w:r>
              <w:rPr>
                <w:rFonts w:hint="eastAsia" w:ascii="方正仿宋_GBK" w:hAnsi="仿宋" w:eastAsia="方正仿宋_GBK" w:cs="宋体"/>
                <w:kern w:val="0"/>
                <w:sz w:val="28"/>
                <w:szCs w:val="28"/>
              </w:rPr>
              <w:t>客户关系和具体业务的接受与保持</w:t>
            </w:r>
          </w:p>
        </w:tc>
        <w:tc>
          <w:tcPr>
            <w:tcW w:w="2160" w:type="dxa"/>
            <w:tcBorders>
              <w:top w:val="nil"/>
              <w:left w:val="nil"/>
              <w:bottom w:val="single" w:color="auto" w:sz="4" w:space="0"/>
              <w:right w:val="single" w:color="auto" w:sz="4" w:space="0"/>
            </w:tcBorders>
            <w:noWrap/>
            <w:vAlign w:val="center"/>
          </w:tcPr>
          <w:p w14:paraId="2F64F19C">
            <w:pPr>
              <w:widowControl/>
              <w:spacing w:line="578"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10</w:t>
            </w:r>
          </w:p>
        </w:tc>
      </w:tr>
      <w:tr w14:paraId="2A60D570">
        <w:tblPrEx>
          <w:tblCellMar>
            <w:top w:w="0" w:type="dxa"/>
            <w:left w:w="108" w:type="dxa"/>
            <w:bottom w:w="0" w:type="dxa"/>
            <w:right w:w="108" w:type="dxa"/>
          </w:tblCellMar>
        </w:tblPrEx>
        <w:trPr>
          <w:trHeight w:val="441" w:hRule="atLeast"/>
        </w:trPr>
        <w:tc>
          <w:tcPr>
            <w:tcW w:w="4689" w:type="dxa"/>
            <w:tcBorders>
              <w:top w:val="nil"/>
              <w:left w:val="single" w:color="auto" w:sz="4" w:space="0"/>
              <w:bottom w:val="single" w:color="auto" w:sz="4" w:space="0"/>
              <w:right w:val="single" w:color="auto" w:sz="4" w:space="0"/>
            </w:tcBorders>
            <w:noWrap/>
            <w:vAlign w:val="center"/>
          </w:tcPr>
          <w:p w14:paraId="5F53A974">
            <w:pPr>
              <w:widowControl/>
              <w:spacing w:line="578" w:lineRule="exact"/>
              <w:jc w:val="center"/>
              <w:rPr>
                <w:rFonts w:hint="eastAsia" w:ascii="方正仿宋_GBK" w:hAnsi="仿宋" w:eastAsia="方正仿宋_GBK" w:cs="宋体"/>
                <w:kern w:val="0"/>
                <w:sz w:val="28"/>
                <w:szCs w:val="28"/>
              </w:rPr>
            </w:pPr>
            <w:r>
              <w:rPr>
                <w:rFonts w:hint="eastAsia" w:ascii="方正仿宋_GBK" w:hAnsi="仿宋" w:eastAsia="方正仿宋_GBK" w:cs="宋体"/>
                <w:kern w:val="0"/>
                <w:sz w:val="28"/>
                <w:szCs w:val="28"/>
              </w:rPr>
              <w:t>业务执行</w:t>
            </w:r>
          </w:p>
        </w:tc>
        <w:tc>
          <w:tcPr>
            <w:tcW w:w="2160" w:type="dxa"/>
            <w:tcBorders>
              <w:top w:val="nil"/>
              <w:left w:val="nil"/>
              <w:bottom w:val="single" w:color="auto" w:sz="4" w:space="0"/>
              <w:right w:val="single" w:color="auto" w:sz="4" w:space="0"/>
            </w:tcBorders>
            <w:noWrap/>
            <w:vAlign w:val="center"/>
          </w:tcPr>
          <w:p w14:paraId="2798C240">
            <w:pPr>
              <w:widowControl/>
              <w:spacing w:line="578"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20</w:t>
            </w:r>
          </w:p>
        </w:tc>
      </w:tr>
      <w:tr w14:paraId="008A4074">
        <w:tblPrEx>
          <w:tblCellMar>
            <w:top w:w="0" w:type="dxa"/>
            <w:left w:w="108" w:type="dxa"/>
            <w:bottom w:w="0" w:type="dxa"/>
            <w:right w:w="108" w:type="dxa"/>
          </w:tblCellMar>
        </w:tblPrEx>
        <w:trPr>
          <w:trHeight w:val="441" w:hRule="atLeast"/>
        </w:trPr>
        <w:tc>
          <w:tcPr>
            <w:tcW w:w="4689" w:type="dxa"/>
            <w:tcBorders>
              <w:top w:val="nil"/>
              <w:left w:val="single" w:color="auto" w:sz="4" w:space="0"/>
              <w:bottom w:val="single" w:color="auto" w:sz="4" w:space="0"/>
              <w:right w:val="single" w:color="auto" w:sz="4" w:space="0"/>
            </w:tcBorders>
            <w:noWrap/>
            <w:vAlign w:val="center"/>
          </w:tcPr>
          <w:p w14:paraId="5FE8E867">
            <w:pPr>
              <w:widowControl/>
              <w:spacing w:line="578" w:lineRule="exact"/>
              <w:jc w:val="center"/>
              <w:rPr>
                <w:rFonts w:hint="eastAsia" w:ascii="方正仿宋_GBK" w:hAnsi="仿宋" w:eastAsia="方正仿宋_GBK" w:cs="宋体"/>
                <w:kern w:val="0"/>
                <w:sz w:val="28"/>
                <w:szCs w:val="28"/>
              </w:rPr>
            </w:pPr>
            <w:r>
              <w:rPr>
                <w:rFonts w:hint="eastAsia" w:ascii="方正仿宋_GBK" w:hAnsi="仿宋" w:eastAsia="方正仿宋_GBK" w:cs="宋体"/>
                <w:kern w:val="0"/>
                <w:sz w:val="28"/>
                <w:szCs w:val="28"/>
              </w:rPr>
              <w:t>资源</w:t>
            </w:r>
          </w:p>
        </w:tc>
        <w:tc>
          <w:tcPr>
            <w:tcW w:w="2160" w:type="dxa"/>
            <w:tcBorders>
              <w:top w:val="nil"/>
              <w:left w:val="nil"/>
              <w:bottom w:val="single" w:color="auto" w:sz="4" w:space="0"/>
              <w:right w:val="single" w:color="auto" w:sz="4" w:space="0"/>
            </w:tcBorders>
            <w:noWrap/>
            <w:vAlign w:val="center"/>
          </w:tcPr>
          <w:p w14:paraId="05289289">
            <w:pPr>
              <w:widowControl/>
              <w:spacing w:line="578"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15</w:t>
            </w:r>
          </w:p>
        </w:tc>
      </w:tr>
      <w:tr w14:paraId="12D2CC52">
        <w:tblPrEx>
          <w:tblCellMar>
            <w:top w:w="0" w:type="dxa"/>
            <w:left w:w="108" w:type="dxa"/>
            <w:bottom w:w="0" w:type="dxa"/>
            <w:right w:w="108" w:type="dxa"/>
          </w:tblCellMar>
        </w:tblPrEx>
        <w:trPr>
          <w:trHeight w:val="441" w:hRule="atLeast"/>
        </w:trPr>
        <w:tc>
          <w:tcPr>
            <w:tcW w:w="4689" w:type="dxa"/>
            <w:tcBorders>
              <w:top w:val="nil"/>
              <w:left w:val="single" w:color="auto" w:sz="4" w:space="0"/>
              <w:bottom w:val="single" w:color="auto" w:sz="4" w:space="0"/>
              <w:right w:val="single" w:color="auto" w:sz="4" w:space="0"/>
            </w:tcBorders>
            <w:noWrap/>
            <w:vAlign w:val="center"/>
          </w:tcPr>
          <w:p w14:paraId="52D75BD6">
            <w:pPr>
              <w:widowControl/>
              <w:spacing w:line="578" w:lineRule="exact"/>
              <w:jc w:val="center"/>
              <w:rPr>
                <w:rFonts w:hint="eastAsia" w:ascii="方正仿宋_GBK" w:hAnsi="仿宋" w:eastAsia="方正仿宋_GBK" w:cs="宋体"/>
                <w:kern w:val="0"/>
                <w:sz w:val="28"/>
                <w:szCs w:val="28"/>
              </w:rPr>
            </w:pPr>
            <w:r>
              <w:rPr>
                <w:rFonts w:hint="eastAsia" w:ascii="方正仿宋_GBK" w:hAnsi="仿宋" w:eastAsia="方正仿宋_GBK" w:cs="宋体"/>
                <w:kern w:val="0"/>
                <w:sz w:val="28"/>
                <w:szCs w:val="28"/>
              </w:rPr>
              <w:t>信息与沟通</w:t>
            </w:r>
          </w:p>
        </w:tc>
        <w:tc>
          <w:tcPr>
            <w:tcW w:w="2160" w:type="dxa"/>
            <w:tcBorders>
              <w:top w:val="nil"/>
              <w:left w:val="nil"/>
              <w:bottom w:val="single" w:color="auto" w:sz="4" w:space="0"/>
              <w:right w:val="single" w:color="auto" w:sz="4" w:space="0"/>
            </w:tcBorders>
            <w:noWrap/>
            <w:vAlign w:val="center"/>
          </w:tcPr>
          <w:p w14:paraId="2AEAF557">
            <w:pPr>
              <w:widowControl/>
              <w:spacing w:line="578"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5</w:t>
            </w:r>
          </w:p>
        </w:tc>
      </w:tr>
      <w:tr w14:paraId="72BDE088">
        <w:tblPrEx>
          <w:tblCellMar>
            <w:top w:w="0" w:type="dxa"/>
            <w:left w:w="108" w:type="dxa"/>
            <w:bottom w:w="0" w:type="dxa"/>
            <w:right w:w="108" w:type="dxa"/>
          </w:tblCellMar>
        </w:tblPrEx>
        <w:trPr>
          <w:trHeight w:val="441" w:hRule="atLeast"/>
        </w:trPr>
        <w:tc>
          <w:tcPr>
            <w:tcW w:w="4689" w:type="dxa"/>
            <w:tcBorders>
              <w:top w:val="nil"/>
              <w:left w:val="single" w:color="auto" w:sz="4" w:space="0"/>
              <w:bottom w:val="single" w:color="auto" w:sz="4" w:space="0"/>
              <w:right w:val="single" w:color="auto" w:sz="4" w:space="0"/>
            </w:tcBorders>
            <w:noWrap/>
            <w:vAlign w:val="center"/>
          </w:tcPr>
          <w:p w14:paraId="3BF524BB">
            <w:pPr>
              <w:widowControl/>
              <w:spacing w:line="578" w:lineRule="exact"/>
              <w:jc w:val="center"/>
              <w:rPr>
                <w:rFonts w:hint="eastAsia" w:ascii="方正仿宋_GBK" w:hAnsi="仿宋" w:eastAsia="方正仿宋_GBK" w:cs="宋体"/>
                <w:kern w:val="0"/>
                <w:sz w:val="28"/>
                <w:szCs w:val="28"/>
              </w:rPr>
            </w:pPr>
            <w:r>
              <w:rPr>
                <w:rFonts w:hint="eastAsia" w:ascii="方正仿宋_GBK" w:hAnsi="仿宋" w:eastAsia="方正仿宋_GBK" w:cs="宋体"/>
                <w:kern w:val="0"/>
                <w:sz w:val="28"/>
                <w:szCs w:val="28"/>
              </w:rPr>
              <w:t>监控和整改程序</w:t>
            </w:r>
          </w:p>
        </w:tc>
        <w:tc>
          <w:tcPr>
            <w:tcW w:w="2160" w:type="dxa"/>
            <w:tcBorders>
              <w:top w:val="nil"/>
              <w:left w:val="nil"/>
              <w:bottom w:val="single" w:color="auto" w:sz="4" w:space="0"/>
              <w:right w:val="single" w:color="auto" w:sz="4" w:space="0"/>
            </w:tcBorders>
            <w:noWrap/>
            <w:vAlign w:val="center"/>
          </w:tcPr>
          <w:p w14:paraId="468EE397">
            <w:pPr>
              <w:widowControl/>
              <w:spacing w:line="578"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5</w:t>
            </w:r>
          </w:p>
        </w:tc>
      </w:tr>
      <w:tr w14:paraId="132B2598">
        <w:tblPrEx>
          <w:tblCellMar>
            <w:top w:w="0" w:type="dxa"/>
            <w:left w:w="108" w:type="dxa"/>
            <w:bottom w:w="0" w:type="dxa"/>
            <w:right w:w="108" w:type="dxa"/>
          </w:tblCellMar>
        </w:tblPrEx>
        <w:trPr>
          <w:trHeight w:val="441" w:hRule="atLeast"/>
        </w:trPr>
        <w:tc>
          <w:tcPr>
            <w:tcW w:w="4689" w:type="dxa"/>
            <w:tcBorders>
              <w:top w:val="nil"/>
              <w:left w:val="single" w:color="auto" w:sz="4" w:space="0"/>
              <w:bottom w:val="single" w:color="auto" w:sz="4" w:space="0"/>
              <w:right w:val="single" w:color="auto" w:sz="4" w:space="0"/>
            </w:tcBorders>
            <w:noWrap/>
            <w:vAlign w:val="center"/>
          </w:tcPr>
          <w:p w14:paraId="795BC8F3">
            <w:pPr>
              <w:widowControl/>
              <w:spacing w:line="578" w:lineRule="exact"/>
              <w:jc w:val="center"/>
              <w:rPr>
                <w:rFonts w:hint="eastAsia" w:ascii="方正仿宋_GBK" w:hAnsi="仿宋" w:eastAsia="方正仿宋_GBK" w:cs="宋体"/>
                <w:kern w:val="0"/>
                <w:sz w:val="28"/>
                <w:szCs w:val="28"/>
              </w:rPr>
            </w:pPr>
            <w:r>
              <w:rPr>
                <w:rFonts w:hint="eastAsia" w:ascii="方正仿宋_GBK" w:hAnsi="仿宋" w:eastAsia="方正仿宋_GBK" w:cs="宋体"/>
                <w:kern w:val="0"/>
                <w:sz w:val="28"/>
                <w:szCs w:val="28"/>
              </w:rPr>
              <w:t>合计</w:t>
            </w:r>
          </w:p>
        </w:tc>
        <w:tc>
          <w:tcPr>
            <w:tcW w:w="2160" w:type="dxa"/>
            <w:tcBorders>
              <w:top w:val="nil"/>
              <w:left w:val="nil"/>
              <w:bottom w:val="single" w:color="auto" w:sz="4" w:space="0"/>
              <w:right w:val="single" w:color="auto" w:sz="4" w:space="0"/>
            </w:tcBorders>
            <w:noWrap/>
            <w:vAlign w:val="center"/>
          </w:tcPr>
          <w:p w14:paraId="513902BE">
            <w:pPr>
              <w:widowControl/>
              <w:spacing w:line="578"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100</w:t>
            </w:r>
          </w:p>
        </w:tc>
      </w:tr>
    </w:tbl>
    <w:p w14:paraId="794DE147">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评价人员根据各要素建立健全情况进行评分，得分合计即为质量管理体系评价得分。</w:t>
      </w:r>
    </w:p>
    <w:p w14:paraId="3BC84F50">
      <w:pPr>
        <w:spacing w:line="578" w:lineRule="exact"/>
        <w:ind w:firstLine="640" w:firstLineChars="200"/>
        <w:rPr>
          <w:rFonts w:hint="eastAsia" w:ascii="方正楷体_GBK" w:hAnsi="仿宋_GB2312" w:eastAsia="方正楷体_GBK" w:cs="仿宋_GB2312"/>
          <w:color w:val="000000"/>
          <w:kern w:val="0"/>
          <w:sz w:val="32"/>
          <w:szCs w:val="32"/>
        </w:rPr>
      </w:pPr>
      <w:r>
        <w:rPr>
          <w:rFonts w:hint="eastAsia" w:ascii="方正楷体_GBK" w:hAnsi="仿宋_GB2312" w:eastAsia="方正楷体_GBK" w:cs="仿宋_GB2312"/>
          <w:color w:val="000000"/>
          <w:kern w:val="0"/>
          <w:sz w:val="32"/>
          <w:szCs w:val="32"/>
        </w:rPr>
        <w:t>（二）项目质量评价</w:t>
      </w:r>
    </w:p>
    <w:p w14:paraId="0E9786E8">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项目质量评价分两个步骤：</w:t>
      </w:r>
    </w:p>
    <w:p w14:paraId="661F39C3">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Times New Roman" w:hAnsi="Times New Roman" w:eastAsia="方正仿宋_GBK" w:cs="仿宋_GB2312"/>
          <w:color w:val="000000"/>
          <w:kern w:val="0"/>
          <w:sz w:val="32"/>
          <w:szCs w:val="32"/>
        </w:rPr>
        <w:t>1</w:t>
      </w:r>
      <w:r>
        <w:rPr>
          <w:rFonts w:hint="eastAsia" w:ascii="方正仿宋_GBK" w:hAnsi="仿宋_GB2312" w:eastAsia="方正仿宋_GBK" w:cs="仿宋_GB2312"/>
          <w:color w:val="000000"/>
          <w:kern w:val="0"/>
          <w:sz w:val="32"/>
          <w:szCs w:val="32"/>
        </w:rPr>
        <w:t>.项目抽查评级</w:t>
      </w:r>
    </w:p>
    <w:p w14:paraId="56F7D29E">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评价人员从被评价事务所抽取一定数量的审计或其他鉴证报告进行检查。抽取数量和类型应考虑该事务所的业务规模、业务结构等因素，抽取数量一般为</w:t>
      </w:r>
      <w:r>
        <w:rPr>
          <w:rFonts w:hint="eastAsia" w:ascii="Times New Roman" w:hAnsi="Times New Roman" w:eastAsia="方正仿宋_GBK" w:cs="仿宋_GB2312"/>
          <w:color w:val="000000"/>
          <w:kern w:val="0"/>
          <w:sz w:val="32"/>
          <w:szCs w:val="32"/>
        </w:rPr>
        <w:t>5</w:t>
      </w:r>
      <w:r>
        <w:rPr>
          <w:rFonts w:hint="eastAsia" w:ascii="方正仿宋_GBK" w:hAnsi="仿宋_GB2312" w:eastAsia="方正仿宋_GBK" w:cs="仿宋_GB2312"/>
          <w:color w:val="000000"/>
          <w:kern w:val="0"/>
          <w:sz w:val="32"/>
          <w:szCs w:val="32"/>
        </w:rPr>
        <w:t>-</w:t>
      </w:r>
      <w:r>
        <w:rPr>
          <w:rFonts w:hint="eastAsia" w:ascii="Times New Roman" w:hAnsi="Times New Roman" w:eastAsia="方正仿宋_GBK" w:cs="仿宋_GB2312"/>
          <w:color w:val="000000"/>
          <w:kern w:val="0"/>
          <w:sz w:val="32"/>
          <w:szCs w:val="32"/>
        </w:rPr>
        <w:t>10</w:t>
      </w:r>
      <w:r>
        <w:rPr>
          <w:rFonts w:hint="eastAsia" w:ascii="方正仿宋_GBK" w:hAnsi="仿宋_GB2312" w:eastAsia="方正仿宋_GBK" w:cs="仿宋_GB2312"/>
          <w:color w:val="000000"/>
          <w:kern w:val="0"/>
          <w:sz w:val="32"/>
          <w:szCs w:val="32"/>
        </w:rPr>
        <w:t>份，其中报表审计项目一般不低于</w:t>
      </w:r>
      <w:r>
        <w:rPr>
          <w:rFonts w:hint="eastAsia" w:ascii="Times New Roman" w:hAnsi="Times New Roman" w:eastAsia="方正仿宋_GBK" w:cs="仿宋_GB2312"/>
          <w:color w:val="000000"/>
          <w:kern w:val="0"/>
          <w:sz w:val="32"/>
          <w:szCs w:val="32"/>
        </w:rPr>
        <w:t>60</w:t>
      </w:r>
      <w:r>
        <w:rPr>
          <w:rFonts w:hint="eastAsia" w:ascii="方正仿宋_GBK" w:hAnsi="仿宋_GB2312" w:eastAsia="方正仿宋_GBK" w:cs="仿宋_GB2312"/>
          <w:color w:val="000000"/>
          <w:kern w:val="0"/>
          <w:sz w:val="32"/>
          <w:szCs w:val="32"/>
        </w:rPr>
        <w:t>%。</w:t>
      </w:r>
    </w:p>
    <w:p w14:paraId="7C57DCFF">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对单项业务报告的质量评级分为</w:t>
      </w:r>
      <w:r>
        <w:rPr>
          <w:rFonts w:hint="eastAsia" w:ascii="Times New Roman" w:hAnsi="Times New Roman" w:eastAsia="方正仿宋_GBK" w:cs="仿宋_GB2312"/>
          <w:color w:val="000000"/>
          <w:kern w:val="0"/>
          <w:sz w:val="32"/>
          <w:szCs w:val="32"/>
        </w:rPr>
        <w:t>A</w:t>
      </w:r>
      <w:r>
        <w:rPr>
          <w:rFonts w:hint="eastAsia" w:ascii="方正仿宋_GBK" w:hAnsi="仿宋_GB2312" w:eastAsia="方正仿宋_GBK" w:cs="仿宋_GB2312"/>
          <w:color w:val="000000"/>
          <w:kern w:val="0"/>
          <w:sz w:val="32"/>
          <w:szCs w:val="32"/>
        </w:rPr>
        <w:t>、</w:t>
      </w:r>
      <w:r>
        <w:rPr>
          <w:rFonts w:hint="eastAsia" w:ascii="Times New Roman" w:hAnsi="Times New Roman" w:eastAsia="方正仿宋_GBK" w:cs="仿宋_GB2312"/>
          <w:color w:val="000000"/>
          <w:kern w:val="0"/>
          <w:sz w:val="32"/>
          <w:szCs w:val="32"/>
        </w:rPr>
        <w:t>B</w:t>
      </w:r>
      <w:r>
        <w:rPr>
          <w:rFonts w:hint="eastAsia" w:ascii="方正仿宋_GBK" w:hAnsi="仿宋_GB2312" w:eastAsia="方正仿宋_GBK" w:cs="仿宋_GB2312"/>
          <w:color w:val="000000"/>
          <w:kern w:val="0"/>
          <w:sz w:val="32"/>
          <w:szCs w:val="32"/>
        </w:rPr>
        <w:t>、</w:t>
      </w:r>
      <w:r>
        <w:rPr>
          <w:rFonts w:hint="eastAsia" w:ascii="Times New Roman" w:hAnsi="Times New Roman" w:eastAsia="方正仿宋_GBK" w:cs="仿宋_GB2312"/>
          <w:color w:val="000000"/>
          <w:kern w:val="0"/>
          <w:sz w:val="32"/>
          <w:szCs w:val="32"/>
        </w:rPr>
        <w:t>C</w:t>
      </w:r>
      <w:r>
        <w:rPr>
          <w:rFonts w:hint="eastAsia" w:ascii="方正仿宋_GBK" w:hAnsi="仿宋_GB2312" w:eastAsia="方正仿宋_GBK" w:cs="仿宋_GB2312"/>
          <w:color w:val="000000"/>
          <w:kern w:val="0"/>
          <w:sz w:val="32"/>
          <w:szCs w:val="32"/>
        </w:rPr>
        <w:t>、</w:t>
      </w:r>
      <w:r>
        <w:rPr>
          <w:rFonts w:hint="eastAsia" w:ascii="Times New Roman" w:hAnsi="Times New Roman" w:eastAsia="方正仿宋_GBK" w:cs="仿宋_GB2312"/>
          <w:color w:val="000000"/>
          <w:kern w:val="0"/>
          <w:sz w:val="32"/>
          <w:szCs w:val="32"/>
        </w:rPr>
        <w:t>D</w:t>
      </w:r>
      <w:r>
        <w:rPr>
          <w:rFonts w:hint="eastAsia" w:ascii="方正仿宋_GBK" w:hAnsi="仿宋_GB2312" w:eastAsia="方正仿宋_GBK" w:cs="仿宋_GB2312"/>
          <w:color w:val="000000"/>
          <w:kern w:val="0"/>
          <w:sz w:val="32"/>
          <w:szCs w:val="32"/>
        </w:rPr>
        <w:t>四级，</w:t>
      </w:r>
      <w:r>
        <w:rPr>
          <w:rFonts w:hint="eastAsia" w:ascii="Times New Roman" w:hAnsi="Times New Roman" w:eastAsia="方正仿宋_GBK" w:cs="仿宋_GB2312"/>
          <w:color w:val="000000"/>
          <w:kern w:val="0"/>
          <w:sz w:val="32"/>
          <w:szCs w:val="32"/>
        </w:rPr>
        <w:t>A</w:t>
      </w:r>
      <w:r>
        <w:rPr>
          <w:rFonts w:hint="eastAsia" w:ascii="方正仿宋_GBK" w:hAnsi="仿宋_GB2312" w:eastAsia="方正仿宋_GBK" w:cs="仿宋_GB2312"/>
          <w:color w:val="000000"/>
          <w:kern w:val="0"/>
          <w:sz w:val="32"/>
          <w:szCs w:val="32"/>
        </w:rPr>
        <w:t>级最优，</w:t>
      </w:r>
      <w:r>
        <w:rPr>
          <w:rFonts w:hint="eastAsia" w:ascii="Times New Roman" w:hAnsi="Times New Roman" w:eastAsia="方正仿宋_GBK" w:cs="仿宋_GB2312"/>
          <w:color w:val="000000"/>
          <w:kern w:val="0"/>
          <w:sz w:val="32"/>
          <w:szCs w:val="32"/>
        </w:rPr>
        <w:t>D</w:t>
      </w:r>
      <w:r>
        <w:rPr>
          <w:rFonts w:hint="eastAsia" w:ascii="方正仿宋_GBK" w:hAnsi="仿宋_GB2312" w:eastAsia="方正仿宋_GBK" w:cs="仿宋_GB2312"/>
          <w:color w:val="000000"/>
          <w:kern w:val="0"/>
          <w:sz w:val="32"/>
          <w:szCs w:val="32"/>
        </w:rPr>
        <w:t>级最差。评级标准如下：</w:t>
      </w:r>
    </w:p>
    <w:p w14:paraId="51C62E87">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Times New Roman" w:hAnsi="Times New Roman" w:eastAsia="方正仿宋_GBK" w:cs="仿宋_GB2312"/>
          <w:color w:val="000000"/>
          <w:kern w:val="0"/>
          <w:sz w:val="32"/>
          <w:szCs w:val="32"/>
        </w:rPr>
        <w:t>A</w:t>
      </w:r>
      <w:r>
        <w:rPr>
          <w:rFonts w:hint="eastAsia" w:ascii="方正仿宋_GBK" w:hAnsi="仿宋_GB2312" w:eastAsia="方正仿宋_GBK" w:cs="仿宋_GB2312"/>
          <w:color w:val="000000"/>
          <w:kern w:val="0"/>
          <w:sz w:val="32"/>
          <w:szCs w:val="32"/>
        </w:rPr>
        <w:t>级在准则要求的范围和程度上，审计工作是适当的，为发表审计意见形成了合理的基础。</w:t>
      </w:r>
    </w:p>
    <w:p w14:paraId="3AF3CFAE">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Times New Roman" w:hAnsi="Times New Roman" w:eastAsia="方正仿宋_GBK" w:cs="仿宋_GB2312"/>
          <w:color w:val="000000"/>
          <w:kern w:val="0"/>
          <w:sz w:val="32"/>
          <w:szCs w:val="32"/>
        </w:rPr>
        <w:t>B</w:t>
      </w:r>
      <w:r>
        <w:rPr>
          <w:rFonts w:hint="eastAsia" w:ascii="方正仿宋_GBK" w:hAnsi="仿宋_GB2312" w:eastAsia="方正仿宋_GBK" w:cs="仿宋_GB2312"/>
          <w:color w:val="000000"/>
          <w:kern w:val="0"/>
          <w:sz w:val="32"/>
          <w:szCs w:val="32"/>
        </w:rPr>
        <w:t>级审计工作中存在不足，但不是发生在重要领域；底稿中记录的工作大致上为发表审计意见提供了合理的基础。</w:t>
      </w:r>
    </w:p>
    <w:p w14:paraId="3673097F">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Times New Roman" w:hAnsi="Times New Roman" w:eastAsia="方正仿宋_GBK" w:cs="仿宋_GB2312"/>
          <w:color w:val="000000"/>
          <w:kern w:val="0"/>
          <w:sz w:val="32"/>
          <w:szCs w:val="32"/>
        </w:rPr>
        <w:t>C</w:t>
      </w:r>
      <w:r>
        <w:rPr>
          <w:rFonts w:hint="eastAsia" w:ascii="方正仿宋_GBK" w:hAnsi="仿宋_GB2312" w:eastAsia="方正仿宋_GBK" w:cs="仿宋_GB2312"/>
          <w:color w:val="000000"/>
          <w:kern w:val="0"/>
          <w:sz w:val="32"/>
          <w:szCs w:val="32"/>
        </w:rPr>
        <w:t>级重要领域的审计工作存在不足，发表审计意见的基础不充分。</w:t>
      </w:r>
    </w:p>
    <w:p w14:paraId="76402B52">
      <w:pPr>
        <w:spacing w:line="578" w:lineRule="exact"/>
        <w:ind w:firstLine="537" w:firstLineChars="168"/>
        <w:rPr>
          <w:rFonts w:hint="eastAsia" w:ascii="方正仿宋_GBK" w:hAnsi="仿宋_GB2312" w:eastAsia="方正仿宋_GBK" w:cs="仿宋_GB2312"/>
          <w:color w:val="000000"/>
          <w:kern w:val="0"/>
          <w:sz w:val="32"/>
          <w:szCs w:val="32"/>
        </w:rPr>
      </w:pPr>
      <w:r>
        <w:rPr>
          <w:rFonts w:hint="eastAsia" w:ascii="Times New Roman" w:hAnsi="Times New Roman" w:eastAsia="方正仿宋_GBK" w:cs="仿宋_GB2312"/>
          <w:color w:val="000000"/>
          <w:kern w:val="0"/>
          <w:sz w:val="32"/>
          <w:szCs w:val="32"/>
        </w:rPr>
        <w:t>D</w:t>
      </w:r>
      <w:r>
        <w:rPr>
          <w:rFonts w:hint="eastAsia" w:ascii="方正仿宋_GBK" w:hAnsi="仿宋_GB2312" w:eastAsia="方正仿宋_GBK" w:cs="仿宋_GB2312"/>
          <w:color w:val="000000"/>
          <w:kern w:val="0"/>
          <w:sz w:val="32"/>
          <w:szCs w:val="32"/>
        </w:rPr>
        <w:t>级已执行和记录的审计工作不足以支持发表的审计意见。</w:t>
      </w:r>
    </w:p>
    <w:p w14:paraId="16CACEFE">
      <w:pPr>
        <w:spacing w:line="578" w:lineRule="exact"/>
        <w:ind w:firstLine="537" w:firstLineChars="168"/>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评价人员对质量管理体系和项目质量的评价底稿和初步结果形成后，应由评价组另一名人员复核。评价小组确定评价结果后，应经咨询复核专家组复核。</w:t>
      </w:r>
    </w:p>
    <w:p w14:paraId="7D73B6D1">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Times New Roman" w:hAnsi="Times New Roman" w:eastAsia="方正仿宋_GBK" w:cs="仿宋_GB2312"/>
          <w:color w:val="000000"/>
          <w:kern w:val="0"/>
          <w:sz w:val="32"/>
          <w:szCs w:val="32"/>
        </w:rPr>
        <w:t>2</w:t>
      </w:r>
      <w:r>
        <w:rPr>
          <w:rFonts w:hint="eastAsia" w:ascii="方正仿宋_GBK" w:hAnsi="仿宋_GB2312" w:eastAsia="方正仿宋_GBK" w:cs="仿宋_GB2312"/>
          <w:color w:val="000000"/>
          <w:kern w:val="0"/>
          <w:sz w:val="32"/>
          <w:szCs w:val="32"/>
        </w:rPr>
        <w:t>.对评级报告赋分</w:t>
      </w:r>
    </w:p>
    <w:p w14:paraId="5B397A3E">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单项报告评级结果确定后，应对每个项目根据评级结果予以赋分。赋分标准如下：</w:t>
      </w:r>
    </w:p>
    <w:tbl>
      <w:tblPr>
        <w:tblStyle w:val="15"/>
        <w:tblW w:w="4509" w:type="dxa"/>
        <w:tblInd w:w="99" w:type="dxa"/>
        <w:tblLayout w:type="autofit"/>
        <w:tblCellMar>
          <w:top w:w="0" w:type="dxa"/>
          <w:left w:w="108" w:type="dxa"/>
          <w:bottom w:w="0" w:type="dxa"/>
          <w:right w:w="108" w:type="dxa"/>
        </w:tblCellMar>
      </w:tblPr>
      <w:tblGrid>
        <w:gridCol w:w="2169"/>
        <w:gridCol w:w="2340"/>
      </w:tblGrid>
      <w:tr w14:paraId="0EE45367">
        <w:tblPrEx>
          <w:tblCellMar>
            <w:top w:w="0" w:type="dxa"/>
            <w:left w:w="108" w:type="dxa"/>
            <w:bottom w:w="0" w:type="dxa"/>
            <w:right w:w="108" w:type="dxa"/>
          </w:tblCellMar>
        </w:tblPrEx>
        <w:trPr>
          <w:trHeight w:val="441" w:hRule="atLeast"/>
        </w:trPr>
        <w:tc>
          <w:tcPr>
            <w:tcW w:w="2169" w:type="dxa"/>
            <w:tcBorders>
              <w:top w:val="single" w:color="auto" w:sz="4" w:space="0"/>
              <w:left w:val="single" w:color="auto" w:sz="4" w:space="0"/>
              <w:bottom w:val="single" w:color="auto" w:sz="4" w:space="0"/>
              <w:right w:val="single" w:color="auto" w:sz="4" w:space="0"/>
            </w:tcBorders>
            <w:noWrap/>
            <w:vAlign w:val="center"/>
          </w:tcPr>
          <w:p w14:paraId="4713825A">
            <w:pPr>
              <w:widowControl/>
              <w:spacing w:line="578" w:lineRule="exact"/>
              <w:rPr>
                <w:rFonts w:hint="eastAsia" w:ascii="方正黑体_GBK" w:hAnsi="宋体" w:eastAsia="方正黑体_GBK" w:cs="宋体"/>
                <w:kern w:val="0"/>
                <w:sz w:val="28"/>
                <w:szCs w:val="28"/>
              </w:rPr>
            </w:pPr>
            <w:r>
              <w:rPr>
                <w:rFonts w:hint="eastAsia" w:ascii="方正黑体_GBK" w:hAnsi="宋体" w:eastAsia="方正黑体_GBK" w:cs="宋体"/>
                <w:kern w:val="0"/>
                <w:sz w:val="28"/>
                <w:szCs w:val="28"/>
              </w:rPr>
              <w:t>项目评级</w:t>
            </w:r>
          </w:p>
        </w:tc>
        <w:tc>
          <w:tcPr>
            <w:tcW w:w="2340" w:type="dxa"/>
            <w:tcBorders>
              <w:top w:val="single" w:color="auto" w:sz="4" w:space="0"/>
              <w:left w:val="nil"/>
              <w:bottom w:val="nil"/>
              <w:right w:val="single" w:color="auto" w:sz="4" w:space="0"/>
            </w:tcBorders>
            <w:noWrap/>
            <w:vAlign w:val="center"/>
          </w:tcPr>
          <w:p w14:paraId="527C8AC4">
            <w:pPr>
              <w:widowControl/>
              <w:spacing w:line="578" w:lineRule="exact"/>
              <w:rPr>
                <w:rFonts w:hint="eastAsia" w:ascii="方正黑体_GBK" w:hAnsi="宋体" w:eastAsia="方正黑体_GBK" w:cs="宋体"/>
                <w:kern w:val="0"/>
                <w:sz w:val="28"/>
                <w:szCs w:val="28"/>
              </w:rPr>
            </w:pPr>
            <w:r>
              <w:rPr>
                <w:rFonts w:hint="eastAsia" w:ascii="方正黑体_GBK" w:hAnsi="宋体" w:eastAsia="方正黑体_GBK" w:cs="宋体"/>
                <w:kern w:val="0"/>
                <w:sz w:val="28"/>
                <w:szCs w:val="28"/>
              </w:rPr>
              <w:t>项目赋分</w:t>
            </w:r>
          </w:p>
        </w:tc>
      </w:tr>
      <w:tr w14:paraId="456CA622">
        <w:tblPrEx>
          <w:tblCellMar>
            <w:top w:w="0" w:type="dxa"/>
            <w:left w:w="108" w:type="dxa"/>
            <w:bottom w:w="0" w:type="dxa"/>
            <w:right w:w="108" w:type="dxa"/>
          </w:tblCellMar>
        </w:tblPrEx>
        <w:trPr>
          <w:trHeight w:val="441" w:hRule="atLeast"/>
        </w:trPr>
        <w:tc>
          <w:tcPr>
            <w:tcW w:w="2169" w:type="dxa"/>
            <w:tcBorders>
              <w:top w:val="nil"/>
              <w:left w:val="single" w:color="auto" w:sz="4" w:space="0"/>
              <w:bottom w:val="single" w:color="auto" w:sz="4" w:space="0"/>
              <w:right w:val="single" w:color="auto" w:sz="4" w:space="0"/>
            </w:tcBorders>
            <w:noWrap/>
            <w:vAlign w:val="center"/>
          </w:tcPr>
          <w:p w14:paraId="686053DB">
            <w:pPr>
              <w:widowControl/>
              <w:spacing w:line="578" w:lineRule="exact"/>
              <w:rPr>
                <w:rFonts w:hint="eastAsia" w:ascii="方正仿宋_GBK" w:hAnsi="宋体" w:eastAsia="方正仿宋_GBK" w:cs="宋体"/>
                <w:kern w:val="0"/>
                <w:sz w:val="28"/>
                <w:szCs w:val="28"/>
              </w:rPr>
            </w:pPr>
            <w:r>
              <w:rPr>
                <w:rFonts w:hint="eastAsia" w:ascii="Times New Roman" w:hAnsi="Times New Roman" w:eastAsia="方正仿宋_GBK" w:cs="宋体"/>
                <w:kern w:val="0"/>
                <w:sz w:val="28"/>
                <w:szCs w:val="28"/>
              </w:rPr>
              <w:t>A</w:t>
            </w:r>
            <w:r>
              <w:rPr>
                <w:rFonts w:hint="eastAsia" w:ascii="方正仿宋_GBK" w:hAnsi="宋体" w:eastAsia="方正仿宋_GBK" w:cs="宋体"/>
                <w:kern w:val="0"/>
                <w:sz w:val="28"/>
                <w:szCs w:val="28"/>
              </w:rPr>
              <w:t xml:space="preserve"> </w:t>
            </w:r>
          </w:p>
        </w:tc>
        <w:tc>
          <w:tcPr>
            <w:tcW w:w="2340" w:type="dxa"/>
            <w:tcBorders>
              <w:top w:val="single" w:color="auto" w:sz="4" w:space="0"/>
              <w:left w:val="nil"/>
              <w:bottom w:val="single" w:color="auto" w:sz="4" w:space="0"/>
              <w:right w:val="single" w:color="auto" w:sz="4" w:space="0"/>
            </w:tcBorders>
            <w:noWrap/>
            <w:vAlign w:val="center"/>
          </w:tcPr>
          <w:p w14:paraId="527DF6A9">
            <w:pPr>
              <w:widowControl/>
              <w:spacing w:line="578" w:lineRule="exact"/>
              <w:rPr>
                <w:rFonts w:hint="eastAsia" w:ascii="方正仿宋_GBK" w:hAnsi="宋体" w:eastAsia="方正仿宋_GBK" w:cs="宋体"/>
                <w:kern w:val="0"/>
                <w:sz w:val="28"/>
                <w:szCs w:val="28"/>
              </w:rPr>
            </w:pPr>
            <w:r>
              <w:rPr>
                <w:rFonts w:hint="eastAsia" w:ascii="Times New Roman" w:hAnsi="Times New Roman" w:eastAsia="方正仿宋_GBK" w:cs="宋体"/>
                <w:kern w:val="0"/>
                <w:sz w:val="28"/>
                <w:szCs w:val="28"/>
              </w:rPr>
              <w:t>85</w:t>
            </w:r>
          </w:p>
        </w:tc>
      </w:tr>
      <w:tr w14:paraId="308B4C91">
        <w:tblPrEx>
          <w:tblCellMar>
            <w:top w:w="0" w:type="dxa"/>
            <w:left w:w="108" w:type="dxa"/>
            <w:bottom w:w="0" w:type="dxa"/>
            <w:right w:w="108" w:type="dxa"/>
          </w:tblCellMar>
        </w:tblPrEx>
        <w:trPr>
          <w:trHeight w:val="441" w:hRule="atLeast"/>
        </w:trPr>
        <w:tc>
          <w:tcPr>
            <w:tcW w:w="2169" w:type="dxa"/>
            <w:tcBorders>
              <w:top w:val="nil"/>
              <w:left w:val="single" w:color="auto" w:sz="4" w:space="0"/>
              <w:bottom w:val="single" w:color="auto" w:sz="4" w:space="0"/>
              <w:right w:val="single" w:color="auto" w:sz="4" w:space="0"/>
            </w:tcBorders>
            <w:noWrap/>
            <w:vAlign w:val="center"/>
          </w:tcPr>
          <w:p w14:paraId="742E400A">
            <w:pPr>
              <w:widowControl/>
              <w:spacing w:line="578" w:lineRule="exact"/>
              <w:rPr>
                <w:rFonts w:hint="eastAsia" w:ascii="方正仿宋_GBK" w:hAnsi="宋体" w:eastAsia="方正仿宋_GBK" w:cs="宋体"/>
                <w:kern w:val="0"/>
                <w:sz w:val="28"/>
                <w:szCs w:val="28"/>
              </w:rPr>
            </w:pPr>
            <w:r>
              <w:rPr>
                <w:rFonts w:hint="eastAsia" w:ascii="Times New Roman" w:hAnsi="Times New Roman" w:eastAsia="方正仿宋_GBK" w:cs="宋体"/>
                <w:kern w:val="0"/>
                <w:sz w:val="28"/>
                <w:szCs w:val="28"/>
              </w:rPr>
              <w:t>B</w:t>
            </w:r>
          </w:p>
        </w:tc>
        <w:tc>
          <w:tcPr>
            <w:tcW w:w="2340" w:type="dxa"/>
            <w:tcBorders>
              <w:top w:val="nil"/>
              <w:left w:val="nil"/>
              <w:bottom w:val="single" w:color="auto" w:sz="4" w:space="0"/>
              <w:right w:val="single" w:color="auto" w:sz="4" w:space="0"/>
            </w:tcBorders>
            <w:noWrap/>
            <w:vAlign w:val="center"/>
          </w:tcPr>
          <w:p w14:paraId="2D5BA9BC">
            <w:pPr>
              <w:widowControl/>
              <w:spacing w:line="578" w:lineRule="exact"/>
              <w:rPr>
                <w:rFonts w:hint="eastAsia" w:ascii="方正仿宋_GBK" w:hAnsi="宋体" w:eastAsia="方正仿宋_GBK" w:cs="宋体"/>
                <w:kern w:val="0"/>
                <w:sz w:val="28"/>
                <w:szCs w:val="28"/>
              </w:rPr>
            </w:pPr>
            <w:r>
              <w:rPr>
                <w:rFonts w:hint="eastAsia" w:ascii="Times New Roman" w:hAnsi="Times New Roman" w:eastAsia="方正仿宋_GBK" w:cs="宋体"/>
                <w:kern w:val="0"/>
                <w:sz w:val="28"/>
                <w:szCs w:val="28"/>
              </w:rPr>
              <w:t>75</w:t>
            </w:r>
          </w:p>
        </w:tc>
      </w:tr>
      <w:tr w14:paraId="64D2D8A1">
        <w:tblPrEx>
          <w:tblCellMar>
            <w:top w:w="0" w:type="dxa"/>
            <w:left w:w="108" w:type="dxa"/>
            <w:bottom w:w="0" w:type="dxa"/>
            <w:right w:w="108" w:type="dxa"/>
          </w:tblCellMar>
        </w:tblPrEx>
        <w:trPr>
          <w:trHeight w:val="441" w:hRule="atLeast"/>
        </w:trPr>
        <w:tc>
          <w:tcPr>
            <w:tcW w:w="2169" w:type="dxa"/>
            <w:tcBorders>
              <w:top w:val="nil"/>
              <w:left w:val="single" w:color="auto" w:sz="4" w:space="0"/>
              <w:bottom w:val="single" w:color="auto" w:sz="4" w:space="0"/>
              <w:right w:val="single" w:color="auto" w:sz="4" w:space="0"/>
            </w:tcBorders>
            <w:noWrap/>
            <w:vAlign w:val="center"/>
          </w:tcPr>
          <w:p w14:paraId="6B052426">
            <w:pPr>
              <w:widowControl/>
              <w:spacing w:line="578" w:lineRule="exact"/>
              <w:rPr>
                <w:rFonts w:hint="eastAsia" w:ascii="方正仿宋_GBK" w:hAnsi="宋体" w:eastAsia="方正仿宋_GBK" w:cs="宋体"/>
                <w:kern w:val="0"/>
                <w:sz w:val="28"/>
                <w:szCs w:val="28"/>
              </w:rPr>
            </w:pPr>
            <w:r>
              <w:rPr>
                <w:rFonts w:hint="eastAsia" w:ascii="Times New Roman" w:hAnsi="Times New Roman" w:eastAsia="方正仿宋_GBK" w:cs="宋体"/>
                <w:kern w:val="0"/>
                <w:sz w:val="28"/>
                <w:szCs w:val="28"/>
              </w:rPr>
              <w:t>C</w:t>
            </w:r>
          </w:p>
        </w:tc>
        <w:tc>
          <w:tcPr>
            <w:tcW w:w="2340" w:type="dxa"/>
            <w:tcBorders>
              <w:top w:val="nil"/>
              <w:left w:val="nil"/>
              <w:bottom w:val="single" w:color="auto" w:sz="4" w:space="0"/>
              <w:right w:val="single" w:color="auto" w:sz="4" w:space="0"/>
            </w:tcBorders>
            <w:noWrap/>
            <w:vAlign w:val="center"/>
          </w:tcPr>
          <w:p w14:paraId="3F48BEF7">
            <w:pPr>
              <w:widowControl/>
              <w:spacing w:line="578" w:lineRule="exact"/>
              <w:rPr>
                <w:rFonts w:hint="eastAsia" w:ascii="方正仿宋_GBK" w:hAnsi="宋体" w:eastAsia="方正仿宋_GBK" w:cs="宋体"/>
                <w:kern w:val="0"/>
                <w:sz w:val="28"/>
                <w:szCs w:val="28"/>
              </w:rPr>
            </w:pPr>
            <w:r>
              <w:rPr>
                <w:rFonts w:hint="eastAsia" w:ascii="Times New Roman" w:hAnsi="Times New Roman" w:eastAsia="方正仿宋_GBK" w:cs="宋体"/>
                <w:kern w:val="0"/>
                <w:sz w:val="28"/>
                <w:szCs w:val="28"/>
              </w:rPr>
              <w:t>65</w:t>
            </w:r>
          </w:p>
        </w:tc>
      </w:tr>
      <w:tr w14:paraId="17E5FFDA">
        <w:tblPrEx>
          <w:tblCellMar>
            <w:top w:w="0" w:type="dxa"/>
            <w:left w:w="108" w:type="dxa"/>
            <w:bottom w:w="0" w:type="dxa"/>
            <w:right w:w="108" w:type="dxa"/>
          </w:tblCellMar>
        </w:tblPrEx>
        <w:trPr>
          <w:trHeight w:val="441" w:hRule="atLeast"/>
        </w:trPr>
        <w:tc>
          <w:tcPr>
            <w:tcW w:w="2169" w:type="dxa"/>
            <w:tcBorders>
              <w:top w:val="nil"/>
              <w:left w:val="single" w:color="auto" w:sz="4" w:space="0"/>
              <w:bottom w:val="single" w:color="auto" w:sz="4" w:space="0"/>
              <w:right w:val="single" w:color="auto" w:sz="4" w:space="0"/>
            </w:tcBorders>
            <w:noWrap/>
            <w:vAlign w:val="center"/>
          </w:tcPr>
          <w:p w14:paraId="07CD7C99">
            <w:pPr>
              <w:widowControl/>
              <w:spacing w:line="578" w:lineRule="exact"/>
              <w:rPr>
                <w:rFonts w:hint="eastAsia" w:ascii="方正仿宋_GBK" w:hAnsi="宋体" w:eastAsia="方正仿宋_GBK" w:cs="宋体"/>
                <w:kern w:val="0"/>
                <w:sz w:val="28"/>
                <w:szCs w:val="28"/>
              </w:rPr>
            </w:pPr>
            <w:r>
              <w:rPr>
                <w:rFonts w:hint="eastAsia" w:ascii="Times New Roman" w:hAnsi="Times New Roman" w:eastAsia="方正仿宋_GBK" w:cs="宋体"/>
                <w:kern w:val="0"/>
                <w:sz w:val="28"/>
                <w:szCs w:val="28"/>
              </w:rPr>
              <w:t>D</w:t>
            </w:r>
            <w:r>
              <w:rPr>
                <w:rFonts w:hint="eastAsia" w:ascii="方正仿宋_GBK" w:hAnsi="宋体" w:eastAsia="方正仿宋_GBK" w:cs="宋体"/>
                <w:kern w:val="0"/>
                <w:sz w:val="28"/>
                <w:szCs w:val="28"/>
              </w:rPr>
              <w:t>（注</w:t>
            </w:r>
            <w:r>
              <w:rPr>
                <w:rFonts w:hint="eastAsia" w:ascii="Times New Roman" w:hAnsi="Times New Roman" w:eastAsia="方正仿宋_GBK" w:cs="宋体"/>
                <w:kern w:val="0"/>
                <w:sz w:val="28"/>
                <w:szCs w:val="28"/>
              </w:rPr>
              <w:t>1</w:t>
            </w:r>
            <w:r>
              <w:rPr>
                <w:rFonts w:hint="eastAsia" w:ascii="方正仿宋_GBK" w:hAnsi="宋体" w:eastAsia="方正仿宋_GBK" w:cs="宋体"/>
                <w:kern w:val="0"/>
                <w:sz w:val="28"/>
                <w:szCs w:val="28"/>
              </w:rPr>
              <w:t>）</w:t>
            </w:r>
          </w:p>
        </w:tc>
        <w:tc>
          <w:tcPr>
            <w:tcW w:w="2340" w:type="dxa"/>
            <w:tcBorders>
              <w:top w:val="nil"/>
              <w:left w:val="nil"/>
              <w:bottom w:val="single" w:color="auto" w:sz="4" w:space="0"/>
              <w:right w:val="single" w:color="auto" w:sz="4" w:space="0"/>
            </w:tcBorders>
            <w:noWrap/>
            <w:vAlign w:val="center"/>
          </w:tcPr>
          <w:p w14:paraId="7131A078">
            <w:pPr>
              <w:widowControl/>
              <w:spacing w:line="578" w:lineRule="exact"/>
              <w:rPr>
                <w:rFonts w:hint="eastAsia" w:ascii="方正仿宋_GBK" w:hAnsi="宋体" w:eastAsia="方正仿宋_GBK" w:cs="宋体"/>
                <w:kern w:val="0"/>
                <w:sz w:val="28"/>
                <w:szCs w:val="28"/>
              </w:rPr>
            </w:pPr>
            <w:r>
              <w:rPr>
                <w:rFonts w:hint="eastAsia" w:ascii="Times New Roman" w:hAnsi="Times New Roman" w:eastAsia="方正仿宋_GBK" w:cs="宋体"/>
                <w:kern w:val="0"/>
                <w:sz w:val="28"/>
                <w:szCs w:val="28"/>
              </w:rPr>
              <w:t>40</w:t>
            </w:r>
            <w:r>
              <w:rPr>
                <w:rFonts w:hint="eastAsia" w:ascii="方正仿宋_GBK" w:hAnsi="宋体" w:eastAsia="方正仿宋_GBK" w:cs="宋体"/>
                <w:kern w:val="0"/>
                <w:sz w:val="28"/>
                <w:szCs w:val="28"/>
              </w:rPr>
              <w:t>-</w:t>
            </w:r>
            <w:r>
              <w:rPr>
                <w:rFonts w:hint="eastAsia" w:ascii="Times New Roman" w:hAnsi="Times New Roman" w:eastAsia="方正仿宋_GBK" w:cs="宋体"/>
                <w:kern w:val="0"/>
                <w:sz w:val="28"/>
                <w:szCs w:val="28"/>
              </w:rPr>
              <w:t>55</w:t>
            </w:r>
          </w:p>
        </w:tc>
      </w:tr>
    </w:tbl>
    <w:p w14:paraId="6D95032B">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注</w:t>
      </w:r>
      <w:r>
        <w:rPr>
          <w:rFonts w:hint="eastAsia" w:ascii="Times New Roman" w:hAnsi="Times New Roman" w:eastAsia="方正仿宋_GBK" w:cs="仿宋_GB2312"/>
          <w:color w:val="000000"/>
          <w:kern w:val="0"/>
          <w:sz w:val="32"/>
          <w:szCs w:val="32"/>
        </w:rPr>
        <w:t>1</w:t>
      </w:r>
      <w:r>
        <w:rPr>
          <w:rFonts w:hint="eastAsia" w:ascii="方正仿宋_GBK" w:hAnsi="仿宋_GB2312" w:eastAsia="方正仿宋_GBK" w:cs="仿宋_GB2312"/>
          <w:color w:val="000000"/>
          <w:kern w:val="0"/>
          <w:sz w:val="32"/>
          <w:szCs w:val="32"/>
        </w:rPr>
        <w:t>：对评为</w:t>
      </w:r>
      <w:r>
        <w:rPr>
          <w:rFonts w:hint="eastAsia" w:ascii="Times New Roman" w:hAnsi="Times New Roman" w:eastAsia="方正仿宋_GBK" w:cs="仿宋_GB2312"/>
          <w:color w:val="000000"/>
          <w:kern w:val="0"/>
          <w:sz w:val="32"/>
          <w:szCs w:val="32"/>
        </w:rPr>
        <w:t>D</w:t>
      </w:r>
      <w:r>
        <w:rPr>
          <w:rFonts w:hint="eastAsia" w:ascii="方正仿宋_GBK" w:hAnsi="仿宋_GB2312" w:eastAsia="方正仿宋_GBK" w:cs="仿宋_GB2312"/>
          <w:color w:val="000000"/>
          <w:kern w:val="0"/>
          <w:sz w:val="32"/>
          <w:szCs w:val="32"/>
        </w:rPr>
        <w:t>级的报告，赋分范围为一个区间，根据其实际质量情况评分。主要考虑因素包括：是否存在特别重大失实或故意隐瞒、是否存在重要底稿和证据严重缺失等。评分低于上限值的，评价底稿应该说明理由。</w:t>
      </w:r>
    </w:p>
    <w:p w14:paraId="08A77293">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根据以上赋分规则，将抽查的报告得分算术平均，得出检查报告平均得分。</w:t>
      </w:r>
    </w:p>
    <w:p w14:paraId="1AE31EE3">
      <w:pPr>
        <w:spacing w:line="578" w:lineRule="exact"/>
        <w:ind w:firstLine="640" w:firstLineChars="200"/>
        <w:rPr>
          <w:rFonts w:hint="eastAsia" w:ascii="方正楷体_GBK" w:hAnsi="仿宋_GB2312" w:eastAsia="方正楷体_GBK" w:cs="仿宋_GB2312"/>
          <w:color w:val="000000"/>
          <w:kern w:val="0"/>
          <w:sz w:val="32"/>
          <w:szCs w:val="32"/>
        </w:rPr>
      </w:pPr>
      <w:r>
        <w:rPr>
          <w:rFonts w:hint="eastAsia" w:ascii="方正楷体_GBK" w:hAnsi="仿宋_GB2312" w:eastAsia="方正楷体_GBK" w:cs="仿宋_GB2312"/>
          <w:color w:val="000000"/>
          <w:kern w:val="0"/>
          <w:sz w:val="32"/>
          <w:szCs w:val="32"/>
        </w:rPr>
        <w:t>（三）综合评分</w:t>
      </w:r>
    </w:p>
    <w:p w14:paraId="1624A7C2">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将质量管理体系和项目质量评分结果赋予一定权重计算评价综合得分。其中，质量管理体系分数权重为</w:t>
      </w:r>
      <w:r>
        <w:rPr>
          <w:rFonts w:hint="eastAsia" w:ascii="Times New Roman" w:hAnsi="Times New Roman" w:eastAsia="方正仿宋_GBK" w:cs="仿宋_GB2312"/>
          <w:color w:val="000000"/>
          <w:kern w:val="0"/>
          <w:sz w:val="32"/>
          <w:szCs w:val="32"/>
        </w:rPr>
        <w:t>25</w:t>
      </w:r>
      <w:r>
        <w:rPr>
          <w:rFonts w:hint="eastAsia" w:ascii="方正仿宋_GBK" w:hAnsi="仿宋_GB2312" w:eastAsia="方正仿宋_GBK" w:cs="仿宋_GB2312"/>
          <w:color w:val="000000"/>
          <w:kern w:val="0"/>
          <w:sz w:val="32"/>
          <w:szCs w:val="32"/>
        </w:rPr>
        <w:t>%，项目质量分数权重为</w:t>
      </w:r>
      <w:r>
        <w:rPr>
          <w:rFonts w:hint="eastAsia" w:ascii="Times New Roman" w:hAnsi="Times New Roman" w:eastAsia="方正仿宋_GBK" w:cs="仿宋_GB2312"/>
          <w:color w:val="000000"/>
          <w:kern w:val="0"/>
          <w:sz w:val="32"/>
          <w:szCs w:val="32"/>
        </w:rPr>
        <w:t>75</w:t>
      </w:r>
      <w:r>
        <w:rPr>
          <w:rFonts w:hint="eastAsia" w:ascii="方正仿宋_GBK" w:hAnsi="仿宋_GB2312" w:eastAsia="方正仿宋_GBK" w:cs="仿宋_GB2312"/>
          <w:color w:val="000000"/>
          <w:kern w:val="0"/>
          <w:sz w:val="32"/>
          <w:szCs w:val="32"/>
        </w:rPr>
        <w:t>%。</w:t>
      </w:r>
    </w:p>
    <w:p w14:paraId="17448749">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评价综合得分=质量管理体系分数×</w:t>
      </w:r>
      <w:r>
        <w:rPr>
          <w:rFonts w:hint="eastAsia" w:ascii="Times New Roman" w:hAnsi="Times New Roman" w:eastAsia="方正仿宋_GBK" w:cs="仿宋_GB2312"/>
          <w:color w:val="000000"/>
          <w:kern w:val="0"/>
          <w:sz w:val="32"/>
          <w:szCs w:val="32"/>
        </w:rPr>
        <w:t>25</w:t>
      </w:r>
      <w:r>
        <w:rPr>
          <w:rFonts w:hint="eastAsia" w:ascii="方正仿宋_GBK" w:hAnsi="仿宋_GB2312" w:eastAsia="方正仿宋_GBK" w:cs="仿宋_GB2312"/>
          <w:color w:val="000000"/>
          <w:kern w:val="0"/>
          <w:sz w:val="32"/>
          <w:szCs w:val="32"/>
        </w:rPr>
        <w:t>%+项目质量分数×</w:t>
      </w:r>
      <w:r>
        <w:rPr>
          <w:rFonts w:hint="eastAsia" w:ascii="Times New Roman" w:hAnsi="Times New Roman" w:eastAsia="方正仿宋_GBK" w:cs="仿宋_GB2312"/>
          <w:color w:val="000000"/>
          <w:kern w:val="0"/>
          <w:sz w:val="32"/>
          <w:szCs w:val="32"/>
        </w:rPr>
        <w:t>75</w:t>
      </w:r>
      <w:r>
        <w:rPr>
          <w:rFonts w:hint="eastAsia" w:ascii="方正仿宋_GBK" w:hAnsi="仿宋_GB2312" w:eastAsia="方正仿宋_GBK" w:cs="仿宋_GB2312"/>
          <w:color w:val="000000"/>
          <w:kern w:val="0"/>
          <w:sz w:val="32"/>
          <w:szCs w:val="32"/>
        </w:rPr>
        <w:t>%</w:t>
      </w:r>
    </w:p>
    <w:p w14:paraId="3B06ABC6">
      <w:pPr>
        <w:spacing w:line="578" w:lineRule="exact"/>
        <w:ind w:firstLine="537" w:firstLineChars="168"/>
        <w:rPr>
          <w:rFonts w:hint="eastAsia" w:ascii="方正楷体_GBK" w:hAnsi="仿宋_GB2312" w:eastAsia="方正楷体_GBK" w:cs="仿宋_GB2312"/>
          <w:color w:val="000000"/>
          <w:kern w:val="0"/>
          <w:sz w:val="32"/>
          <w:szCs w:val="32"/>
        </w:rPr>
      </w:pPr>
      <w:r>
        <w:rPr>
          <w:rFonts w:hint="eastAsia" w:ascii="方正楷体_GBK" w:hAnsi="仿宋_GB2312" w:eastAsia="方正楷体_GBK" w:cs="仿宋_GB2312"/>
          <w:color w:val="000000"/>
          <w:kern w:val="0"/>
          <w:sz w:val="32"/>
          <w:szCs w:val="32"/>
        </w:rPr>
        <w:t>（四）综合评级</w:t>
      </w:r>
    </w:p>
    <w:p w14:paraId="09F8A3E0">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将综合评分转换为该被评价事务所的最终执业质量评级，评级分为一至四级。转换方式如下：</w:t>
      </w:r>
    </w:p>
    <w:p w14:paraId="22B36CCB">
      <w:pPr>
        <w:spacing w:line="578" w:lineRule="exact"/>
        <w:ind w:firstLine="537" w:firstLineChars="168"/>
        <w:rPr>
          <w:rFonts w:hint="eastAsia" w:ascii="方正黑体_GBK" w:hAnsi="仿宋_GB2312" w:eastAsia="方正黑体_GBK" w:cs="仿宋_GB2312"/>
          <w:color w:val="000000"/>
          <w:kern w:val="0"/>
          <w:sz w:val="32"/>
          <w:szCs w:val="32"/>
        </w:rPr>
      </w:pPr>
      <w:r>
        <w:rPr>
          <w:rFonts w:hint="eastAsia" w:ascii="方正黑体_GBK" w:hAnsi="仿宋_GB2312" w:eastAsia="方正黑体_GBK" w:cs="仿宋_GB2312"/>
          <w:color w:val="000000"/>
          <w:kern w:val="0"/>
          <w:sz w:val="32"/>
          <w:szCs w:val="32"/>
        </w:rPr>
        <w:t>综合评分(</w:t>
      </w:r>
      <w:r>
        <w:rPr>
          <w:rFonts w:hint="eastAsia" w:ascii="方正黑体_GBK" w:hAnsi="Times New Roman" w:eastAsia="方正黑体_GBK" w:cs="仿宋_GB2312"/>
          <w:color w:val="000000"/>
          <w:kern w:val="0"/>
          <w:sz w:val="32"/>
          <w:szCs w:val="32"/>
        </w:rPr>
        <w:t>X</w:t>
      </w:r>
      <w:r>
        <w:rPr>
          <w:rFonts w:hint="eastAsia" w:ascii="方正黑体_GBK" w:hAnsi="仿宋_GB2312" w:eastAsia="方正黑体_GBK" w:cs="仿宋_GB2312"/>
          <w:color w:val="000000"/>
          <w:kern w:val="0"/>
          <w:sz w:val="32"/>
          <w:szCs w:val="32"/>
        </w:rPr>
        <w:t>)       执业质量评级</w:t>
      </w:r>
    </w:p>
    <w:p w14:paraId="586165DC">
      <w:pPr>
        <w:spacing w:line="578" w:lineRule="exact"/>
        <w:ind w:firstLine="857" w:firstLineChars="268"/>
        <w:rPr>
          <w:rFonts w:hint="eastAsia" w:ascii="方正仿宋_GBK" w:hAnsi="仿宋_GB2312" w:eastAsia="方正仿宋_GBK" w:cs="仿宋_GB2312"/>
          <w:color w:val="000000"/>
          <w:kern w:val="0"/>
          <w:sz w:val="32"/>
          <w:szCs w:val="32"/>
        </w:rPr>
      </w:pPr>
      <w:r>
        <w:rPr>
          <w:rFonts w:hint="eastAsia" w:ascii="Times New Roman" w:hAnsi="Times New Roman" w:eastAsia="方正仿宋_GBK" w:cs="仿宋_GB2312"/>
          <w:color w:val="000000"/>
          <w:kern w:val="0"/>
          <w:sz w:val="32"/>
          <w:szCs w:val="32"/>
        </w:rPr>
        <w:t>X</w:t>
      </w:r>
      <w:r>
        <w:rPr>
          <w:rFonts w:hint="eastAsia" w:ascii="方正仿宋_GBK" w:hAnsi="仿宋_GB2312" w:eastAsia="方正仿宋_GBK" w:cs="仿宋_GB2312"/>
          <w:color w:val="000000"/>
          <w:kern w:val="0"/>
          <w:sz w:val="32"/>
          <w:szCs w:val="32"/>
        </w:rPr>
        <w:t>&gt;</w:t>
      </w:r>
      <w:r>
        <w:rPr>
          <w:rFonts w:hint="eastAsia" w:ascii="Times New Roman" w:hAnsi="Times New Roman" w:eastAsia="方正仿宋_GBK" w:cs="仿宋_GB2312"/>
          <w:color w:val="000000"/>
          <w:kern w:val="0"/>
          <w:sz w:val="32"/>
          <w:szCs w:val="32"/>
        </w:rPr>
        <w:t>80</w:t>
      </w:r>
      <w:r>
        <w:rPr>
          <w:rFonts w:hint="eastAsia" w:ascii="方正仿宋_GBK" w:hAnsi="仿宋_GB2312" w:eastAsia="方正仿宋_GBK" w:cs="仿宋_GB2312"/>
          <w:color w:val="000000"/>
          <w:kern w:val="0"/>
          <w:sz w:val="32"/>
          <w:szCs w:val="32"/>
        </w:rPr>
        <w:t>(含)             一级</w:t>
      </w:r>
    </w:p>
    <w:p w14:paraId="2B8D9904">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Times New Roman" w:hAnsi="Times New Roman" w:eastAsia="方正仿宋_GBK" w:cs="仿宋_GB2312"/>
          <w:color w:val="000000"/>
          <w:kern w:val="0"/>
          <w:sz w:val="32"/>
          <w:szCs w:val="32"/>
        </w:rPr>
        <w:t>80</w:t>
      </w:r>
      <w:r>
        <w:rPr>
          <w:rFonts w:hint="eastAsia" w:ascii="方正仿宋_GBK" w:hAnsi="仿宋_GB2312" w:eastAsia="方正仿宋_GBK" w:cs="仿宋_GB2312"/>
          <w:color w:val="000000"/>
          <w:kern w:val="0"/>
          <w:sz w:val="32"/>
          <w:szCs w:val="32"/>
        </w:rPr>
        <w:t>&gt;</w:t>
      </w:r>
      <w:r>
        <w:rPr>
          <w:rFonts w:hint="eastAsia" w:ascii="Times New Roman" w:hAnsi="Times New Roman" w:eastAsia="方正仿宋_GBK" w:cs="仿宋_GB2312"/>
          <w:color w:val="000000"/>
          <w:kern w:val="0"/>
          <w:sz w:val="32"/>
          <w:szCs w:val="32"/>
        </w:rPr>
        <w:t>X</w:t>
      </w:r>
      <w:r>
        <w:rPr>
          <w:rFonts w:hint="eastAsia" w:ascii="方正仿宋_GBK" w:hAnsi="仿宋_GB2312" w:eastAsia="方正仿宋_GBK" w:cs="仿宋_GB2312"/>
          <w:color w:val="000000"/>
          <w:kern w:val="0"/>
          <w:sz w:val="32"/>
          <w:szCs w:val="32"/>
        </w:rPr>
        <w:t>&gt;</w:t>
      </w:r>
      <w:r>
        <w:rPr>
          <w:rFonts w:hint="eastAsia" w:ascii="Times New Roman" w:hAnsi="Times New Roman" w:eastAsia="方正仿宋_GBK" w:cs="仿宋_GB2312"/>
          <w:color w:val="000000"/>
          <w:kern w:val="0"/>
          <w:sz w:val="32"/>
          <w:szCs w:val="32"/>
        </w:rPr>
        <w:t>70</w:t>
      </w:r>
      <w:r>
        <w:rPr>
          <w:rFonts w:hint="eastAsia" w:ascii="方正仿宋_GBK" w:hAnsi="仿宋_GB2312" w:eastAsia="方正仿宋_GBK" w:cs="仿宋_GB2312"/>
          <w:color w:val="000000"/>
          <w:kern w:val="0"/>
          <w:sz w:val="32"/>
          <w:szCs w:val="32"/>
        </w:rPr>
        <w:t xml:space="preserve">(含)           二级 </w:t>
      </w:r>
    </w:p>
    <w:p w14:paraId="7233FE19">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Times New Roman" w:hAnsi="Times New Roman" w:eastAsia="方正仿宋_GBK" w:cs="仿宋_GB2312"/>
          <w:color w:val="000000"/>
          <w:kern w:val="0"/>
          <w:sz w:val="32"/>
          <w:szCs w:val="32"/>
        </w:rPr>
        <w:t>70</w:t>
      </w:r>
      <w:r>
        <w:rPr>
          <w:rFonts w:hint="eastAsia" w:ascii="方正仿宋_GBK" w:hAnsi="仿宋_GB2312" w:eastAsia="方正仿宋_GBK" w:cs="仿宋_GB2312"/>
          <w:color w:val="000000"/>
          <w:kern w:val="0"/>
          <w:sz w:val="32"/>
          <w:szCs w:val="32"/>
        </w:rPr>
        <w:t>&gt;</w:t>
      </w:r>
      <w:r>
        <w:rPr>
          <w:rFonts w:hint="eastAsia" w:ascii="Times New Roman" w:hAnsi="Times New Roman" w:eastAsia="方正仿宋_GBK" w:cs="仿宋_GB2312"/>
          <w:color w:val="000000"/>
          <w:kern w:val="0"/>
          <w:sz w:val="32"/>
          <w:szCs w:val="32"/>
        </w:rPr>
        <w:t>X</w:t>
      </w:r>
      <w:r>
        <w:rPr>
          <w:rFonts w:hint="eastAsia" w:ascii="方正仿宋_GBK" w:hAnsi="仿宋_GB2312" w:eastAsia="方正仿宋_GBK" w:cs="仿宋_GB2312"/>
          <w:color w:val="000000"/>
          <w:kern w:val="0"/>
          <w:sz w:val="32"/>
          <w:szCs w:val="32"/>
        </w:rPr>
        <w:t>&gt;</w:t>
      </w:r>
      <w:r>
        <w:rPr>
          <w:rFonts w:hint="eastAsia" w:ascii="Times New Roman" w:hAnsi="Times New Roman" w:eastAsia="方正仿宋_GBK" w:cs="仿宋_GB2312"/>
          <w:color w:val="000000"/>
          <w:kern w:val="0"/>
          <w:sz w:val="32"/>
          <w:szCs w:val="32"/>
        </w:rPr>
        <w:t>60</w:t>
      </w:r>
      <w:r>
        <w:rPr>
          <w:rFonts w:hint="eastAsia" w:ascii="方正仿宋_GBK" w:hAnsi="仿宋_GB2312" w:eastAsia="方正仿宋_GBK" w:cs="仿宋_GB2312"/>
          <w:color w:val="000000"/>
          <w:kern w:val="0"/>
          <w:sz w:val="32"/>
          <w:szCs w:val="32"/>
        </w:rPr>
        <w:t xml:space="preserve">(含)           三级 </w:t>
      </w:r>
    </w:p>
    <w:p w14:paraId="4FA80881">
      <w:pPr>
        <w:spacing w:line="578" w:lineRule="exact"/>
        <w:ind w:firstLine="960" w:firstLineChars="300"/>
        <w:rPr>
          <w:rFonts w:hint="eastAsia" w:ascii="方正仿宋_GBK" w:hAnsi="仿宋_GB2312" w:eastAsia="方正仿宋_GBK" w:cs="仿宋_GB2312"/>
          <w:color w:val="000000"/>
          <w:kern w:val="0"/>
          <w:sz w:val="32"/>
          <w:szCs w:val="32"/>
        </w:rPr>
      </w:pPr>
      <w:r>
        <w:rPr>
          <w:rFonts w:hint="eastAsia" w:ascii="Times New Roman" w:hAnsi="Times New Roman" w:eastAsia="方正仿宋_GBK" w:cs="仿宋_GB2312"/>
          <w:color w:val="000000"/>
          <w:kern w:val="0"/>
          <w:sz w:val="32"/>
          <w:szCs w:val="32"/>
        </w:rPr>
        <w:t>60</w:t>
      </w:r>
      <w:r>
        <w:rPr>
          <w:rFonts w:hint="eastAsia" w:ascii="方正仿宋_GBK" w:hAnsi="仿宋_GB2312" w:eastAsia="方正仿宋_GBK" w:cs="仿宋_GB2312"/>
          <w:color w:val="000000"/>
          <w:kern w:val="0"/>
          <w:sz w:val="32"/>
          <w:szCs w:val="32"/>
        </w:rPr>
        <w:t>&gt;</w:t>
      </w:r>
      <w:r>
        <w:rPr>
          <w:rFonts w:hint="eastAsia" w:ascii="Times New Roman" w:hAnsi="Times New Roman" w:eastAsia="方正仿宋_GBK" w:cs="仿宋_GB2312"/>
          <w:color w:val="000000"/>
          <w:kern w:val="0"/>
          <w:sz w:val="32"/>
          <w:szCs w:val="32"/>
        </w:rPr>
        <w:t>X</w:t>
      </w:r>
      <w:r>
        <w:rPr>
          <w:rFonts w:hint="eastAsia" w:ascii="方正仿宋_GBK" w:hAnsi="仿宋_GB2312" w:eastAsia="方正仿宋_GBK" w:cs="仿宋_GB2312"/>
          <w:color w:val="000000"/>
          <w:kern w:val="0"/>
          <w:sz w:val="32"/>
          <w:szCs w:val="32"/>
        </w:rPr>
        <w:t xml:space="preserve">               四级 </w:t>
      </w:r>
    </w:p>
    <w:p w14:paraId="7C5B2DC7">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黑体_GBK" w:hAnsi="仿宋_GB2312" w:eastAsia="方正黑体_GBK" w:cs="仿宋_GB2312"/>
          <w:color w:val="000000"/>
          <w:kern w:val="0"/>
          <w:sz w:val="32"/>
          <w:szCs w:val="32"/>
        </w:rPr>
        <w:t>第十条</w:t>
      </w:r>
      <w:r>
        <w:rPr>
          <w:rFonts w:hint="eastAsia" w:ascii="方正仿宋_GBK" w:hAnsi="仿宋_GB2312" w:eastAsia="方正仿宋_GBK" w:cs="仿宋_GB2312"/>
          <w:color w:val="000000"/>
          <w:kern w:val="0"/>
          <w:sz w:val="32"/>
          <w:szCs w:val="32"/>
        </w:rPr>
        <w:t xml:space="preserve"> 事务所可自愿向市注协提出申请进行执业质量评价，市注协可结合年度执业质量检查开展评价或单独组织实施。申请距上一次评价（含执业质量检查）的间隔时间不得少于</w:t>
      </w:r>
      <w:r>
        <w:rPr>
          <w:rFonts w:hint="eastAsia" w:ascii="Times New Roman" w:hAnsi="Times New Roman" w:eastAsia="方正仿宋_GBK" w:cs="仿宋_GB2312"/>
          <w:color w:val="000000"/>
          <w:kern w:val="0"/>
          <w:sz w:val="32"/>
          <w:szCs w:val="32"/>
        </w:rPr>
        <w:t>2</w:t>
      </w:r>
      <w:r>
        <w:rPr>
          <w:rFonts w:hint="eastAsia" w:ascii="方正仿宋_GBK" w:hAnsi="仿宋_GB2312" w:eastAsia="方正仿宋_GBK" w:cs="仿宋_GB2312"/>
          <w:color w:val="000000"/>
          <w:kern w:val="0"/>
          <w:sz w:val="32"/>
          <w:szCs w:val="32"/>
        </w:rPr>
        <w:t>年。</w:t>
      </w:r>
    </w:p>
    <w:p w14:paraId="50F8213B">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黑体_GBK" w:hAnsi="仿宋_GB2312" w:eastAsia="方正黑体_GBK" w:cs="仿宋_GB2312"/>
          <w:color w:val="000000"/>
          <w:kern w:val="0"/>
          <w:sz w:val="32"/>
          <w:szCs w:val="32"/>
        </w:rPr>
        <w:t>第十一条</w:t>
      </w:r>
      <w:r>
        <w:rPr>
          <w:rFonts w:hint="eastAsia" w:ascii="方正仿宋_GBK" w:hAnsi="仿宋_GB2312" w:eastAsia="方正仿宋_GBK" w:cs="仿宋_GB2312"/>
          <w:color w:val="000000"/>
          <w:kern w:val="0"/>
          <w:sz w:val="32"/>
          <w:szCs w:val="32"/>
        </w:rPr>
        <w:t xml:space="preserve"> 执业质量评价结果可在以下方面使用：</w:t>
      </w:r>
    </w:p>
    <w:p w14:paraId="5A1FAAAD">
      <w:pPr>
        <w:tabs>
          <w:tab w:val="right" w:pos="8306"/>
        </w:tabs>
        <w:spacing w:line="578" w:lineRule="exact"/>
        <w:ind w:firstLine="537" w:firstLineChars="168"/>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（一）对事务所实施分级分层管理；</w:t>
      </w:r>
    </w:p>
    <w:p w14:paraId="0BE38B50">
      <w:pPr>
        <w:tabs>
          <w:tab w:val="right" w:pos="8306"/>
        </w:tabs>
        <w:spacing w:line="578" w:lineRule="exact"/>
        <w:ind w:firstLine="537" w:firstLineChars="168"/>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（二）作为确定年度执业质量检查周期的重要依据；</w:t>
      </w:r>
      <w:r>
        <w:rPr>
          <w:rFonts w:hint="eastAsia" w:ascii="方正仿宋_GBK" w:hAnsi="仿宋_GB2312" w:eastAsia="方正仿宋_GBK" w:cs="仿宋_GB2312"/>
          <w:color w:val="000000"/>
          <w:kern w:val="0"/>
          <w:sz w:val="32"/>
          <w:szCs w:val="32"/>
        </w:rPr>
        <w:tab/>
      </w:r>
    </w:p>
    <w:p w14:paraId="33643516">
      <w:pPr>
        <w:spacing w:line="578" w:lineRule="exact"/>
        <w:ind w:firstLine="537" w:firstLineChars="168"/>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（三）向有关行政管理部门提供执业质量评价结果；</w:t>
      </w:r>
    </w:p>
    <w:p w14:paraId="2655493D">
      <w:pPr>
        <w:spacing w:line="578" w:lineRule="exact"/>
        <w:ind w:firstLine="537" w:firstLineChars="168"/>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（四）其他适宜采取分级管理措施的情形。</w:t>
      </w:r>
    </w:p>
    <w:p w14:paraId="037E178E">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黑体_GBK" w:hAnsi="仿宋_GB2312" w:eastAsia="方正黑体_GBK" w:cs="仿宋_GB2312"/>
          <w:color w:val="000000"/>
          <w:kern w:val="0"/>
          <w:sz w:val="32"/>
          <w:szCs w:val="32"/>
        </w:rPr>
        <w:t>第十二条</w:t>
      </w:r>
      <w:r>
        <w:rPr>
          <w:rFonts w:hint="eastAsia" w:ascii="方正仿宋_GBK" w:hAnsi="仿宋_GB2312" w:eastAsia="方正仿宋_GBK" w:cs="仿宋_GB2312"/>
          <w:color w:val="000000"/>
          <w:kern w:val="0"/>
          <w:sz w:val="32"/>
          <w:szCs w:val="32"/>
        </w:rPr>
        <w:t xml:space="preserve"> 执业质量评价工作结束后，市注协应告知被评价事务所评价结果。</w:t>
      </w:r>
    </w:p>
    <w:p w14:paraId="3713284D">
      <w:pPr>
        <w:spacing w:line="578" w:lineRule="exact"/>
        <w:ind w:firstLine="640" w:firstLineChars="200"/>
        <w:rPr>
          <w:rFonts w:hint="eastAsia" w:ascii="方正仿宋_GBK" w:hAnsi="仿宋_GB2312" w:eastAsia="方正仿宋_GBK" w:cs="仿宋_GB2312"/>
          <w:color w:val="000000"/>
          <w:kern w:val="0"/>
          <w:sz w:val="32"/>
          <w:szCs w:val="32"/>
        </w:rPr>
      </w:pPr>
      <w:bookmarkStart w:id="2" w:name="_GoBack"/>
      <w:bookmarkEnd w:id="2"/>
      <w:r>
        <w:rPr>
          <w:rFonts w:hint="eastAsia" w:ascii="方正黑体_GBK" w:hAnsi="仿宋_GB2312" w:eastAsia="方正黑体_GBK" w:cs="仿宋_GB2312"/>
          <w:color w:val="000000"/>
          <w:kern w:val="0"/>
          <w:sz w:val="32"/>
          <w:szCs w:val="32"/>
        </w:rPr>
        <w:t>第十三条</w:t>
      </w:r>
      <w:r>
        <w:rPr>
          <w:rFonts w:hint="eastAsia" w:ascii="方正仿宋_GBK" w:hAnsi="仿宋_GB2312" w:eastAsia="方正仿宋_GBK" w:cs="仿宋_GB2312"/>
          <w:color w:val="000000"/>
          <w:kern w:val="0"/>
          <w:sz w:val="32"/>
          <w:szCs w:val="32"/>
        </w:rPr>
        <w:t xml:space="preserve"> 执业质量评价结果的有效期为</w:t>
      </w:r>
      <w:r>
        <w:rPr>
          <w:rFonts w:hint="eastAsia" w:ascii="Times New Roman" w:hAnsi="Times New Roman" w:eastAsia="方正仿宋_GBK" w:cs="仿宋_GB2312"/>
          <w:color w:val="000000"/>
          <w:kern w:val="0"/>
          <w:sz w:val="32"/>
          <w:szCs w:val="32"/>
        </w:rPr>
        <w:t>5</w:t>
      </w:r>
      <w:r>
        <w:rPr>
          <w:rFonts w:hint="eastAsia" w:ascii="方正仿宋_GBK" w:hAnsi="仿宋_GB2312" w:eastAsia="方正仿宋_GBK" w:cs="仿宋_GB2312"/>
          <w:color w:val="000000"/>
          <w:kern w:val="0"/>
          <w:sz w:val="32"/>
          <w:szCs w:val="32"/>
        </w:rPr>
        <w:t>年。如在有效期内对该事务所重新进行质量评价，应以最后一次的评价结果为准。</w:t>
      </w:r>
    </w:p>
    <w:p w14:paraId="74FDE5AA">
      <w:pPr>
        <w:spacing w:line="578" w:lineRule="exact"/>
        <w:ind w:firstLine="640" w:firstLineChars="200"/>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市注协应妥善保存执业质量评价结果及工作底稿，存档期限不少于</w:t>
      </w:r>
      <w:r>
        <w:rPr>
          <w:rFonts w:hint="eastAsia" w:ascii="Times New Roman" w:hAnsi="Times New Roman" w:eastAsia="方正仿宋_GBK" w:cs="仿宋_GB2312"/>
          <w:color w:val="000000"/>
          <w:kern w:val="0"/>
          <w:sz w:val="32"/>
          <w:szCs w:val="32"/>
        </w:rPr>
        <w:t>5</w:t>
      </w:r>
      <w:r>
        <w:rPr>
          <w:rFonts w:hint="eastAsia" w:ascii="方正仿宋_GBK" w:hAnsi="仿宋_GB2312" w:eastAsia="方正仿宋_GBK" w:cs="仿宋_GB2312"/>
          <w:color w:val="000000"/>
          <w:kern w:val="0"/>
          <w:sz w:val="32"/>
          <w:szCs w:val="32"/>
        </w:rPr>
        <w:t>年。</w:t>
      </w:r>
    </w:p>
    <w:p w14:paraId="4B60A6D7">
      <w:pPr>
        <w:spacing w:line="578" w:lineRule="exact"/>
        <w:ind w:firstLine="537" w:firstLineChars="168"/>
        <w:rPr>
          <w:rFonts w:hint="eastAsia" w:ascii="方正仿宋_GBK" w:hAnsi="仿宋_GB2312" w:eastAsia="方正仿宋_GBK" w:cs="仿宋_GB2312"/>
          <w:color w:val="000000"/>
          <w:kern w:val="0"/>
          <w:sz w:val="32"/>
          <w:szCs w:val="32"/>
        </w:rPr>
      </w:pPr>
      <w:bookmarkStart w:id="1" w:name="_Hlk199841300"/>
      <w:r>
        <w:rPr>
          <w:rFonts w:hint="eastAsia" w:ascii="方正黑体_GBK" w:hAnsi="仿宋_GB2312" w:eastAsia="方正黑体_GBK" w:cs="仿宋_GB2312"/>
          <w:color w:val="000000"/>
          <w:kern w:val="0"/>
          <w:sz w:val="32"/>
          <w:szCs w:val="32"/>
        </w:rPr>
        <w:t>第十四条</w:t>
      </w:r>
      <w:r>
        <w:rPr>
          <w:rFonts w:hint="eastAsia" w:ascii="方正仿宋_GBK" w:hAnsi="仿宋_GB2312" w:eastAsia="方正仿宋_GBK" w:cs="仿宋_GB2312"/>
          <w:color w:val="000000"/>
          <w:kern w:val="0"/>
          <w:sz w:val="32"/>
          <w:szCs w:val="32"/>
        </w:rPr>
        <w:t xml:space="preserve"> 本暂行办法试行期为</w:t>
      </w:r>
      <w:r>
        <w:rPr>
          <w:rFonts w:hint="eastAsia" w:ascii="Times New Roman" w:hAnsi="Times New Roman" w:eastAsia="方正仿宋_GBK" w:cs="仿宋_GB2312"/>
          <w:color w:val="000000"/>
          <w:kern w:val="0"/>
          <w:sz w:val="32"/>
          <w:szCs w:val="32"/>
        </w:rPr>
        <w:t>3</w:t>
      </w:r>
      <w:r>
        <w:rPr>
          <w:rFonts w:hint="eastAsia" w:ascii="方正仿宋_GBK" w:hAnsi="仿宋_GB2312" w:eastAsia="方正仿宋_GBK" w:cs="仿宋_GB2312"/>
          <w:color w:val="000000"/>
          <w:kern w:val="0"/>
          <w:sz w:val="32"/>
          <w:szCs w:val="32"/>
        </w:rPr>
        <w:t>年。评价结果在试行期内不对外公布。</w:t>
      </w:r>
    </w:p>
    <w:p w14:paraId="55ED5827">
      <w:pPr>
        <w:spacing w:line="578" w:lineRule="exact"/>
        <w:ind w:firstLine="537" w:firstLineChars="168"/>
        <w:rPr>
          <w:rFonts w:hint="eastAsia" w:ascii="方正仿宋_GBK" w:hAnsi="仿宋_GB2312" w:eastAsia="方正仿宋_GBK" w:cs="仿宋_GB2312"/>
          <w:color w:val="000000"/>
          <w:kern w:val="0"/>
          <w:sz w:val="32"/>
          <w:szCs w:val="32"/>
        </w:rPr>
      </w:pPr>
      <w:r>
        <w:rPr>
          <w:rFonts w:hint="eastAsia" w:ascii="方正黑体_GBK" w:hAnsi="仿宋_GB2312" w:eastAsia="方正黑体_GBK" w:cs="仿宋_GB2312"/>
          <w:color w:val="000000"/>
          <w:kern w:val="0"/>
          <w:sz w:val="32"/>
          <w:szCs w:val="32"/>
        </w:rPr>
        <w:t>第十五条</w:t>
      </w:r>
      <w:r>
        <w:rPr>
          <w:rFonts w:hint="eastAsia" w:ascii="方正仿宋_GBK" w:hAnsi="仿宋_GB2312" w:eastAsia="方正仿宋_GBK" w:cs="仿宋_GB2312"/>
          <w:color w:val="000000"/>
          <w:kern w:val="0"/>
          <w:sz w:val="32"/>
          <w:szCs w:val="32"/>
        </w:rPr>
        <w:t xml:space="preserve"> 本办法自市注协理事会通过之日起施行，由市注协理事会负责解释。</w:t>
      </w:r>
    </w:p>
    <w:p w14:paraId="1AE13EE0">
      <w:pPr>
        <w:spacing w:line="578" w:lineRule="exact"/>
        <w:rPr>
          <w:rFonts w:hint="eastAsia" w:ascii="方正仿宋_GBK" w:hAnsi="仿宋_GB2312" w:eastAsia="方正仿宋_GBK" w:cs="仿宋_GB2312"/>
          <w:color w:val="000000"/>
          <w:kern w:val="0"/>
          <w:sz w:val="32"/>
          <w:szCs w:val="32"/>
        </w:rPr>
      </w:pPr>
    </w:p>
    <w:bookmarkEnd w:id="1"/>
    <w:p w14:paraId="295CD2CB">
      <w:pPr>
        <w:spacing w:line="578" w:lineRule="exact"/>
        <w:ind w:firstLine="537" w:firstLineChars="168"/>
        <w:rPr>
          <w:rFonts w:hint="eastAsia" w:ascii="方正仿宋_GBK" w:hAnsi="仿宋_GB2312" w:eastAsia="方正仿宋_GBK" w:cs="仿宋_GB2312"/>
          <w:color w:val="000000"/>
          <w:kern w:val="0"/>
          <w:sz w:val="32"/>
          <w:szCs w:val="32"/>
        </w:rPr>
      </w:pPr>
      <w:r>
        <w:rPr>
          <w:rFonts w:hint="eastAsia" w:ascii="方正仿宋_GBK" w:hAnsi="仿宋_GB2312" w:eastAsia="方正仿宋_GBK" w:cs="仿宋_GB2312"/>
          <w:color w:val="000000"/>
          <w:kern w:val="0"/>
          <w:sz w:val="32"/>
          <w:szCs w:val="32"/>
        </w:rPr>
        <w:t>附表：会计师事务所质量管理体系评价工作底稿</w:t>
      </w:r>
    </w:p>
    <w:sectPr>
      <w:footerReference r:id="rId5" w:type="default"/>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2585903"/>
      <w:docPartObj>
        <w:docPartGallery w:val="autotext"/>
      </w:docPartObj>
    </w:sdtPr>
    <w:sdtEndPr>
      <w:rPr>
        <w:rFonts w:ascii="宋体" w:hAnsi="宋体"/>
        <w:sz w:val="28"/>
        <w:szCs w:val="28"/>
      </w:rPr>
    </w:sdtEndPr>
    <w:sdtContent>
      <w:p w14:paraId="01AF2A94">
        <w:pPr>
          <w:pStyle w:val="11"/>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p w14:paraId="3A7178D7">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F0"/>
    <w:rsid w:val="00015115"/>
    <w:rsid w:val="000652E5"/>
    <w:rsid w:val="0023552D"/>
    <w:rsid w:val="002C691B"/>
    <w:rsid w:val="00590BB6"/>
    <w:rsid w:val="005A70F0"/>
    <w:rsid w:val="00667CAE"/>
    <w:rsid w:val="006A6680"/>
    <w:rsid w:val="00747212"/>
    <w:rsid w:val="008F76D7"/>
    <w:rsid w:val="00A674F8"/>
    <w:rsid w:val="00AB366E"/>
    <w:rsid w:val="00B36BB8"/>
    <w:rsid w:val="00B50AA7"/>
    <w:rsid w:val="00BA4ABB"/>
    <w:rsid w:val="00C447C6"/>
    <w:rsid w:val="00CD6F49"/>
    <w:rsid w:val="00D92581"/>
    <w:rsid w:val="00DA329B"/>
    <w:rsid w:val="00DB1739"/>
    <w:rsid w:val="00DF305D"/>
    <w:rsid w:val="00EF15F2"/>
    <w:rsid w:val="00FC1B5B"/>
    <w:rsid w:val="1F157AF6"/>
    <w:rsid w:val="67F66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rFonts w:ascii="Calibri" w:hAnsi="Calibri" w:eastAsia="宋体" w:cs="Times New Roman"/>
      <w:sz w:val="18"/>
      <w:szCs w:val="18"/>
      <w14:ligatures w14:val="none"/>
    </w:rPr>
  </w:style>
  <w:style w:type="character" w:customStyle="1" w:styleId="36">
    <w:name w:val="页脚 字符"/>
    <w:basedOn w:val="16"/>
    <w:link w:val="11"/>
    <w:qFormat/>
    <w:uiPriority w:val="99"/>
    <w:rPr>
      <w:rFonts w:ascii="Calibri" w:hAnsi="Calibri" w:eastAsia="宋体" w:cs="Times New Roman"/>
      <w:sz w:val="18"/>
      <w:szCs w:val="18"/>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1211</Words>
  <Characters>1212</Characters>
  <Lines>19</Lines>
  <Paragraphs>5</Paragraphs>
  <TotalTime>51</TotalTime>
  <ScaleCrop>false</ScaleCrop>
  <LinksUpToDate>false</LinksUpToDate>
  <CharactersWithSpaces>1222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2025-06-09T01:36:00Z</dcterms:created>
  <dc:creator>胡鹏</dc:creator>
  <cp:lastModifiedBy>WPS_1601614077</cp:lastModifiedBy>
  <dcterms:modified xsi:type="dcterms:W3CDTF">2025-07-11T01:51:36Z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eyJoZGlkIjoiOGJiNjQyNmYwNjBmMGUyYTY5Y2Q1ZmEwN2MyZjdlOWYiLCJ1c2VySWQiOiIxMTI2NjcxMTE3In0=</vt:lpwstr>
  </property>
  <property fmtid="{D5CDD505-2E9C-101B-9397-08002B2CF9AE}" pid="3" name="KSOProductBuildVer">
    <vt:lpwstr>2052-12.1.0.21915</vt:lpwstr>
  </property>
  <property fmtid="{D5CDD505-2E9C-101B-9397-08002B2CF9AE}" pid="4" name="ICV">
    <vt:lpwstr>C9C4DB5B88E040769893CA31BD90DA33_12</vt:lpwstr>
  </property>
</Properties>
</file>