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FBE7" w14:textId="77777777" w:rsidR="000B6FC4" w:rsidRDefault="00000000">
      <w:pPr>
        <w:ind w:firstLineChars="0" w:firstLine="0"/>
        <w:jc w:val="left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附件：</w:t>
      </w:r>
    </w:p>
    <w:p w14:paraId="3E368544" w14:textId="77777777" w:rsidR="000B6FC4" w:rsidRDefault="00000000">
      <w:pPr>
        <w:spacing w:beforeLines="50" w:before="156" w:afterLines="50" w:after="156"/>
        <w:ind w:firstLineChars="0" w:firstLine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t>并购票据信息披露要求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6351"/>
      </w:tblGrid>
      <w:tr w:rsidR="000B6FC4" w14:paraId="072C02C2" w14:textId="77777777">
        <w:trPr>
          <w:trHeight w:val="270"/>
          <w:tblHeader/>
          <w:jc w:val="center"/>
        </w:trPr>
        <w:tc>
          <w:tcPr>
            <w:tcW w:w="3109" w:type="dxa"/>
            <w:vAlign w:val="center"/>
          </w:tcPr>
          <w:p w14:paraId="4CA34BF5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披露文件</w:t>
            </w:r>
          </w:p>
        </w:tc>
        <w:tc>
          <w:tcPr>
            <w:tcW w:w="6351" w:type="dxa"/>
            <w:vAlign w:val="center"/>
          </w:tcPr>
          <w:p w14:paraId="2FA5D012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信息披露要点</w:t>
            </w:r>
          </w:p>
        </w:tc>
      </w:tr>
      <w:tr w:rsidR="000B6FC4" w14:paraId="185A14E1" w14:textId="77777777">
        <w:trPr>
          <w:trHeight w:val="270"/>
          <w:jc w:val="center"/>
        </w:trPr>
        <w:tc>
          <w:tcPr>
            <w:tcW w:w="3109" w:type="dxa"/>
            <w:vMerge w:val="restart"/>
            <w:vAlign w:val="center"/>
          </w:tcPr>
          <w:p w14:paraId="3E727324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募集说明书</w:t>
            </w:r>
          </w:p>
          <w:p w14:paraId="47B7FB6D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——</w:t>
            </w:r>
          </w:p>
          <w:p w14:paraId="78356C25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封面</w:t>
            </w:r>
          </w:p>
        </w:tc>
        <w:tc>
          <w:tcPr>
            <w:tcW w:w="6351" w:type="dxa"/>
            <w:vAlign w:val="center"/>
          </w:tcPr>
          <w:p w14:paraId="3482C8B2" w14:textId="0406A4FA" w:rsidR="000B6FC4" w:rsidRDefault="00000000">
            <w:pPr>
              <w:spacing w:line="240" w:lineRule="auto"/>
              <w:ind w:firstLineChars="0" w:firstLine="0"/>
              <w:rPr>
                <w:rFonts w:ascii="仿宋" w:hAnsi="仿宋" w:cs="Times New Roman" w:hint="eastAsia"/>
                <w:kern w:val="0"/>
                <w:sz w:val="24"/>
              </w:rPr>
            </w:pPr>
            <w:bookmarkStart w:id="0" w:name="OLE_LINK69"/>
            <w:r>
              <w:rPr>
                <w:rFonts w:ascii="仿宋" w:hAnsi="仿宋" w:cs="Times New Roman" w:hint="eastAsia"/>
                <w:kern w:val="0"/>
                <w:sz w:val="24"/>
              </w:rPr>
              <w:t>1</w:t>
            </w:r>
            <w:r>
              <w:rPr>
                <w:rFonts w:ascii="仿宋" w:hAnsi="仿宋" w:cs="Times New Roman" w:hint="eastAsia"/>
                <w:kern w:val="0"/>
                <w:sz w:val="24"/>
                <w:lang w:eastAsia="zh"/>
              </w:rPr>
              <w:t>.</w:t>
            </w:r>
            <w:r>
              <w:rPr>
                <w:rFonts w:ascii="仿宋" w:hAnsi="仿宋" w:cs="Times New Roman" w:hint="eastAsia"/>
                <w:kern w:val="0"/>
                <w:sz w:val="24"/>
              </w:rPr>
              <w:t>提前偿还</w:t>
            </w:r>
            <w:bookmarkEnd w:id="0"/>
            <w:r>
              <w:rPr>
                <w:rFonts w:ascii="仿宋" w:hAnsi="仿宋" w:cs="Times New Roman" w:hint="eastAsia"/>
                <w:kern w:val="0"/>
                <w:sz w:val="24"/>
              </w:rPr>
              <w:t>机制（如有）：</w:t>
            </w:r>
            <w:bookmarkStart w:id="1" w:name="OLE_LINK71"/>
            <w:r>
              <w:rPr>
                <w:rFonts w:ascii="仿宋" w:hAnsi="仿宋" w:cs="Times New Roman" w:hint="eastAsia"/>
                <w:kern w:val="0"/>
                <w:sz w:val="24"/>
              </w:rPr>
              <w:t>应披露本期并购票据</w:t>
            </w:r>
            <w:bookmarkEnd w:id="1"/>
            <w:r>
              <w:rPr>
                <w:rFonts w:ascii="仿宋" w:hAnsi="仿宋" w:cs="Times New Roman" w:hint="eastAsia"/>
                <w:kern w:val="0"/>
                <w:sz w:val="24"/>
              </w:rPr>
              <w:t>提前偿还机制的触发条件。</w:t>
            </w:r>
          </w:p>
        </w:tc>
      </w:tr>
      <w:tr w:rsidR="000B6FC4" w14:paraId="3CA4C6C6" w14:textId="77777777">
        <w:trPr>
          <w:trHeight w:val="270"/>
          <w:jc w:val="center"/>
        </w:trPr>
        <w:tc>
          <w:tcPr>
            <w:tcW w:w="3109" w:type="dxa"/>
            <w:vMerge/>
            <w:vAlign w:val="center"/>
          </w:tcPr>
          <w:p w14:paraId="52DFC8C4" w14:textId="77777777" w:rsidR="000B6FC4" w:rsidRDefault="000B6FC4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</w:p>
        </w:tc>
        <w:tc>
          <w:tcPr>
            <w:tcW w:w="6351" w:type="dxa"/>
            <w:vAlign w:val="center"/>
          </w:tcPr>
          <w:p w14:paraId="6E25D68D" w14:textId="45D1C368" w:rsidR="000B6FC4" w:rsidRDefault="00000000">
            <w:pPr>
              <w:spacing w:line="240" w:lineRule="auto"/>
              <w:ind w:firstLineChars="0" w:firstLine="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kern w:val="0"/>
                <w:sz w:val="24"/>
              </w:rPr>
              <w:t>2</w:t>
            </w:r>
            <w:r>
              <w:rPr>
                <w:rFonts w:ascii="仿宋" w:hAnsi="仿宋" w:cs="Times New Roman" w:hint="eastAsia"/>
                <w:kern w:val="0"/>
                <w:sz w:val="24"/>
                <w:lang w:eastAsia="zh"/>
              </w:rPr>
              <w:t>.</w:t>
            </w:r>
            <w:r>
              <w:rPr>
                <w:rFonts w:ascii="仿宋" w:hAnsi="仿宋" w:cs="Times New Roman" w:hint="eastAsia"/>
                <w:kern w:val="0"/>
                <w:sz w:val="24"/>
              </w:rPr>
              <w:t>分层结构（如有）：在封面披露优先层、夹层（如有）和</w:t>
            </w:r>
            <w:proofErr w:type="gramStart"/>
            <w:r>
              <w:rPr>
                <w:rFonts w:ascii="仿宋" w:hAnsi="仿宋" w:cs="Times New Roman" w:hint="eastAsia"/>
                <w:kern w:val="0"/>
                <w:sz w:val="24"/>
              </w:rPr>
              <w:t>劣后层</w:t>
            </w:r>
            <w:proofErr w:type="gramEnd"/>
            <w:r>
              <w:rPr>
                <w:rFonts w:ascii="仿宋" w:hAnsi="仿宋" w:cs="Times New Roman" w:hint="eastAsia"/>
                <w:kern w:val="0"/>
                <w:sz w:val="24"/>
              </w:rPr>
              <w:t>的金额及占比。</w:t>
            </w:r>
          </w:p>
        </w:tc>
      </w:tr>
      <w:tr w:rsidR="000B6FC4" w14:paraId="6037FCE3" w14:textId="77777777">
        <w:trPr>
          <w:trHeight w:val="270"/>
          <w:jc w:val="center"/>
        </w:trPr>
        <w:tc>
          <w:tcPr>
            <w:tcW w:w="3109" w:type="dxa"/>
            <w:vAlign w:val="center"/>
          </w:tcPr>
          <w:p w14:paraId="186A74F8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募集说明书</w:t>
            </w:r>
          </w:p>
          <w:p w14:paraId="47161C2B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sz w:val="24"/>
                <w:szCs w:val="22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2"/>
              </w:rPr>
              <w:t>——</w:t>
            </w:r>
          </w:p>
          <w:p w14:paraId="364381CD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2"/>
              </w:rPr>
              <w:t>重要提示章节</w:t>
            </w:r>
          </w:p>
        </w:tc>
        <w:tc>
          <w:tcPr>
            <w:tcW w:w="6351" w:type="dxa"/>
            <w:vAlign w:val="center"/>
          </w:tcPr>
          <w:p w14:paraId="56D769B1" w14:textId="77777777" w:rsidR="000B6FC4" w:rsidRDefault="00000000">
            <w:pPr>
              <w:spacing w:line="240" w:lineRule="auto"/>
              <w:ind w:firstLineChars="0" w:firstLine="0"/>
              <w:rPr>
                <w:rFonts w:ascii="仿宋" w:hAnsi="仿宋" w:cs="Times New Roman" w:hint="eastAsia"/>
                <w:sz w:val="24"/>
                <w:szCs w:val="22"/>
              </w:rPr>
            </w:pPr>
            <w:r>
              <w:rPr>
                <w:rFonts w:ascii="仿宋" w:hAnsi="仿宋" w:cs="Times New Roman" w:hint="eastAsia"/>
                <w:sz w:val="24"/>
                <w:szCs w:val="22"/>
              </w:rPr>
              <w:t>增加“脱密声明”：</w:t>
            </w:r>
          </w:p>
          <w:p w14:paraId="20FE8B70" w14:textId="77777777" w:rsidR="000B6FC4" w:rsidRDefault="00000000">
            <w:pPr>
              <w:spacing w:line="240" w:lineRule="auto"/>
              <w:ind w:firstLine="480"/>
              <w:rPr>
                <w:rFonts w:ascii="仿宋" w:hAnsi="仿宋" w:cs="Times New Roman" w:hint="eastAsia"/>
                <w:sz w:val="24"/>
                <w:szCs w:val="22"/>
              </w:rPr>
            </w:pPr>
            <w:r>
              <w:rPr>
                <w:rFonts w:ascii="仿宋" w:hAnsi="仿宋" w:cs="Times New Roman" w:hint="eastAsia"/>
                <w:sz w:val="24"/>
                <w:szCs w:val="22"/>
              </w:rPr>
              <w:t>发行人所披露的关于并购相关信息为融资所需要的必要信息，不涉及国家秘密，不违反本次并购相关合同，不会对本次并购的进程和结果造成影响，信息披露行为不违反相关法律法规及监管机构要求。</w:t>
            </w:r>
          </w:p>
        </w:tc>
      </w:tr>
      <w:tr w:rsidR="000B6FC4" w14:paraId="110BF2E7" w14:textId="77777777">
        <w:trPr>
          <w:trHeight w:val="41"/>
          <w:jc w:val="center"/>
        </w:trPr>
        <w:tc>
          <w:tcPr>
            <w:tcW w:w="3109" w:type="dxa"/>
            <w:vAlign w:val="center"/>
          </w:tcPr>
          <w:p w14:paraId="5EED68F4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募集说明书</w:t>
            </w:r>
          </w:p>
          <w:p w14:paraId="54E04656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——</w:t>
            </w:r>
          </w:p>
          <w:p w14:paraId="3AF72816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bCs/>
                <w:color w:val="000000"/>
                <w:kern w:val="0"/>
                <w:sz w:val="24"/>
              </w:rPr>
              <w:t>风险提示及说明</w:t>
            </w:r>
          </w:p>
        </w:tc>
        <w:tc>
          <w:tcPr>
            <w:tcW w:w="6351" w:type="dxa"/>
            <w:vAlign w:val="center"/>
          </w:tcPr>
          <w:p w14:paraId="36C99B7A" w14:textId="77777777" w:rsidR="000B6FC4" w:rsidRDefault="00000000">
            <w:pPr>
              <w:spacing w:line="240" w:lineRule="auto"/>
              <w:ind w:firstLineChars="0" w:firstLine="0"/>
              <w:rPr>
                <w:rFonts w:ascii="仿宋" w:hAnsi="仿宋" w:cs="Times New Roman" w:hint="eastAsia"/>
                <w:kern w:val="0"/>
                <w:sz w:val="24"/>
              </w:rPr>
            </w:pPr>
            <w:bookmarkStart w:id="2" w:name="_Hlk198040346"/>
            <w:r>
              <w:rPr>
                <w:rFonts w:ascii="仿宋" w:hAnsi="仿宋" w:cs="Times New Roman" w:hint="eastAsia"/>
                <w:kern w:val="0"/>
                <w:sz w:val="24"/>
              </w:rPr>
              <w:t>披露</w:t>
            </w:r>
            <w:bookmarkEnd w:id="2"/>
            <w:r>
              <w:rPr>
                <w:rFonts w:ascii="仿宋" w:hAnsi="仿宋" w:cs="仿宋_GB2312" w:hint="eastAsia"/>
                <w:kern w:val="0"/>
                <w:sz w:val="24"/>
                <w:szCs w:val="22"/>
              </w:rPr>
              <w:t>与并购相关的</w:t>
            </w:r>
            <w:r>
              <w:rPr>
                <w:rFonts w:ascii="仿宋" w:hAnsi="仿宋" w:cs="Times New Roman" w:hint="eastAsia"/>
                <w:kern w:val="0"/>
                <w:sz w:val="24"/>
              </w:rPr>
              <w:t>特有风险：</w:t>
            </w:r>
          </w:p>
          <w:p w14:paraId="6F5E55BC" w14:textId="77777777" w:rsidR="000B6FC4" w:rsidRDefault="00000000">
            <w:pPr>
              <w:spacing w:line="240" w:lineRule="auto"/>
              <w:ind w:firstLine="48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仿宋_GB2312" w:hint="eastAsia"/>
                <w:kern w:val="0"/>
                <w:sz w:val="24"/>
                <w:szCs w:val="22"/>
              </w:rPr>
              <w:t>包括但不限于</w:t>
            </w:r>
            <w:r>
              <w:rPr>
                <w:rFonts w:ascii="仿宋" w:hAnsi="仿宋" w:cs="Times New Roman" w:hint="eastAsia"/>
                <w:kern w:val="0"/>
                <w:sz w:val="24"/>
              </w:rPr>
              <w:t>并购取消或发生重大调整的风险、</w:t>
            </w:r>
            <w:r>
              <w:rPr>
                <w:rFonts w:ascii="仿宋" w:hAnsi="仿宋" w:cs="仿宋_GB2312" w:hint="eastAsia"/>
                <w:kern w:val="0"/>
                <w:sz w:val="24"/>
                <w:szCs w:val="22"/>
              </w:rPr>
              <w:t>整合风险、定价估值风险、</w:t>
            </w:r>
            <w:proofErr w:type="gramStart"/>
            <w:r>
              <w:rPr>
                <w:rFonts w:ascii="仿宋" w:hAnsi="仿宋" w:cs="仿宋_GB2312" w:hint="eastAsia"/>
                <w:kern w:val="0"/>
                <w:sz w:val="24"/>
                <w:szCs w:val="22"/>
              </w:rPr>
              <w:t>并购进程</w:t>
            </w:r>
            <w:proofErr w:type="gramEnd"/>
            <w:r>
              <w:rPr>
                <w:rFonts w:ascii="仿宋" w:hAnsi="仿宋" w:cs="仿宋_GB2312" w:hint="eastAsia"/>
                <w:kern w:val="0"/>
                <w:sz w:val="24"/>
                <w:szCs w:val="22"/>
              </w:rPr>
              <w:t>不及预期的风险、并购标的未来收益不确定的风险，以及发行条款特有风险（如有）等。</w:t>
            </w:r>
          </w:p>
        </w:tc>
      </w:tr>
      <w:tr w:rsidR="000B6FC4" w14:paraId="76B1E2E9" w14:textId="77777777">
        <w:trPr>
          <w:trHeight w:val="41"/>
          <w:jc w:val="center"/>
        </w:trPr>
        <w:tc>
          <w:tcPr>
            <w:tcW w:w="3109" w:type="dxa"/>
            <w:vMerge w:val="restart"/>
            <w:vAlign w:val="center"/>
          </w:tcPr>
          <w:p w14:paraId="12724716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募集说明书</w:t>
            </w:r>
          </w:p>
          <w:p w14:paraId="451DCF30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bCs/>
                <w:color w:val="000000"/>
                <w:kern w:val="0"/>
                <w:sz w:val="24"/>
              </w:rPr>
              <w:t>——</w:t>
            </w:r>
          </w:p>
          <w:p w14:paraId="23A2471F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bCs/>
                <w:color w:val="000000"/>
                <w:kern w:val="0"/>
                <w:sz w:val="24"/>
              </w:rPr>
              <w:t>发行条款</w:t>
            </w:r>
          </w:p>
        </w:tc>
        <w:tc>
          <w:tcPr>
            <w:tcW w:w="6351" w:type="dxa"/>
            <w:vAlign w:val="center"/>
          </w:tcPr>
          <w:p w14:paraId="238F2C35" w14:textId="1B42529D" w:rsidR="000B6FC4" w:rsidRDefault="00000000">
            <w:pPr>
              <w:spacing w:line="240" w:lineRule="auto"/>
              <w:ind w:firstLineChars="0" w:firstLine="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仿宋_GB2312" w:hint="eastAsia"/>
                <w:kern w:val="0"/>
                <w:sz w:val="24"/>
              </w:rPr>
              <w:t>1</w:t>
            </w:r>
            <w:r>
              <w:rPr>
                <w:rFonts w:ascii="仿宋" w:hAnsi="仿宋" w:cs="仿宋_GB2312" w:hint="eastAsia"/>
                <w:kern w:val="0"/>
                <w:sz w:val="24"/>
                <w:lang w:eastAsia="zh"/>
              </w:rPr>
              <w:t>.</w:t>
            </w:r>
            <w:r>
              <w:rPr>
                <w:rFonts w:ascii="仿宋" w:hAnsi="仿宋" w:cs="仿宋_GB2312" w:hint="eastAsia"/>
                <w:kern w:val="0"/>
                <w:sz w:val="24"/>
              </w:rPr>
              <w:t>披露设置的</w:t>
            </w:r>
            <w:r>
              <w:rPr>
                <w:rFonts w:ascii="仿宋" w:hAnsi="仿宋" w:cs="Times New Roman" w:hint="eastAsia"/>
                <w:kern w:val="0"/>
                <w:sz w:val="24"/>
              </w:rPr>
              <w:t>持有人救济条款：</w:t>
            </w:r>
          </w:p>
          <w:p w14:paraId="469FACB8" w14:textId="77777777" w:rsidR="000B6FC4" w:rsidRDefault="00000000">
            <w:pPr>
              <w:spacing w:line="240" w:lineRule="auto"/>
              <w:ind w:firstLine="48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仿宋_GB2312" w:hint="eastAsia"/>
                <w:kern w:val="0"/>
                <w:sz w:val="24"/>
                <w:szCs w:val="22"/>
              </w:rPr>
              <w:t>并购取消或发生重大调整时的处理方式，包括但不限于召开持有人会议、触发提前偿还机制（如有）等方式。</w:t>
            </w:r>
          </w:p>
        </w:tc>
      </w:tr>
      <w:tr w:rsidR="000B6FC4" w14:paraId="23BB3F47" w14:textId="77777777">
        <w:trPr>
          <w:trHeight w:val="359"/>
          <w:jc w:val="center"/>
        </w:trPr>
        <w:tc>
          <w:tcPr>
            <w:tcW w:w="3109" w:type="dxa"/>
            <w:vMerge/>
            <w:vAlign w:val="center"/>
          </w:tcPr>
          <w:p w14:paraId="215AFD35" w14:textId="77777777" w:rsidR="000B6FC4" w:rsidRDefault="000B6FC4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</w:p>
        </w:tc>
        <w:tc>
          <w:tcPr>
            <w:tcW w:w="6351" w:type="dxa"/>
            <w:vAlign w:val="center"/>
          </w:tcPr>
          <w:p w14:paraId="3AB097C5" w14:textId="5A67FEBD" w:rsidR="000B6FC4" w:rsidRDefault="00000000">
            <w:pPr>
              <w:spacing w:line="240" w:lineRule="auto"/>
              <w:ind w:firstLineChars="0" w:firstLine="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kern w:val="0"/>
                <w:sz w:val="24"/>
              </w:rPr>
              <w:t>2</w:t>
            </w:r>
            <w:r>
              <w:rPr>
                <w:rFonts w:ascii="仿宋" w:hAnsi="仿宋" w:cs="Times New Roman" w:hint="eastAsia"/>
                <w:kern w:val="0"/>
                <w:sz w:val="24"/>
                <w:lang w:eastAsia="zh"/>
              </w:rPr>
              <w:t>.</w:t>
            </w:r>
            <w:r>
              <w:rPr>
                <w:rFonts w:ascii="仿宋" w:hAnsi="仿宋" w:cs="Times New Roman" w:hint="eastAsia"/>
                <w:kern w:val="0"/>
                <w:sz w:val="24"/>
              </w:rPr>
              <w:t>披露提前偿还机制具体安排（如有）。</w:t>
            </w:r>
          </w:p>
        </w:tc>
      </w:tr>
      <w:tr w:rsidR="000B6FC4" w14:paraId="6D3C6434" w14:textId="77777777">
        <w:trPr>
          <w:trHeight w:val="132"/>
          <w:jc w:val="center"/>
        </w:trPr>
        <w:tc>
          <w:tcPr>
            <w:tcW w:w="3109" w:type="dxa"/>
            <w:vMerge w:val="restart"/>
            <w:vAlign w:val="center"/>
          </w:tcPr>
          <w:p w14:paraId="6177510C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bookmarkStart w:id="3" w:name="_Hlk214204928"/>
            <w:bookmarkStart w:id="4" w:name="_Hlk214204848"/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募集说明书</w:t>
            </w:r>
          </w:p>
          <w:p w14:paraId="396D136D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——</w:t>
            </w:r>
          </w:p>
          <w:p w14:paraId="288EFCD0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募集资金运用</w:t>
            </w:r>
          </w:p>
        </w:tc>
        <w:tc>
          <w:tcPr>
            <w:tcW w:w="6351" w:type="dxa"/>
            <w:vAlign w:val="center"/>
          </w:tcPr>
          <w:p w14:paraId="10858498" w14:textId="62A49138" w:rsidR="000B6FC4" w:rsidRDefault="00000000">
            <w:pPr>
              <w:spacing w:line="240" w:lineRule="auto"/>
              <w:ind w:firstLineChars="0" w:firstLine="0"/>
              <w:rPr>
                <w:rFonts w:ascii="仿宋" w:hAnsi="仿宋" w:cs="Times New Roman" w:hint="eastAsia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1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  <w:lang w:eastAsia="zh"/>
              </w:rPr>
              <w:t>.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企业在注册阶段对于并购标的，应披露包括但不限于遴选标准、并购决策程序、并购项目类别、行业及领域、募集资金使用计划等内容。</w:t>
            </w:r>
          </w:p>
        </w:tc>
      </w:tr>
      <w:tr w:rsidR="000B6FC4" w14:paraId="75D6586E" w14:textId="77777777">
        <w:trPr>
          <w:trHeight w:val="132"/>
          <w:jc w:val="center"/>
        </w:trPr>
        <w:tc>
          <w:tcPr>
            <w:tcW w:w="3109" w:type="dxa"/>
            <w:vMerge/>
            <w:vAlign w:val="center"/>
          </w:tcPr>
          <w:p w14:paraId="40DD0671" w14:textId="77777777" w:rsidR="000B6FC4" w:rsidRDefault="000B6FC4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</w:p>
        </w:tc>
        <w:tc>
          <w:tcPr>
            <w:tcW w:w="6351" w:type="dxa"/>
            <w:vAlign w:val="center"/>
          </w:tcPr>
          <w:p w14:paraId="7A4CF816" w14:textId="5E63F526" w:rsidR="000B6FC4" w:rsidRDefault="00000000">
            <w:pPr>
              <w:spacing w:line="240" w:lineRule="auto"/>
              <w:ind w:firstLineChars="0" w:firstLine="0"/>
              <w:rPr>
                <w:rFonts w:ascii="仿宋" w:hAnsi="仿宋" w:cs="Times New Roman" w:hint="eastAsia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2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  <w:lang w:eastAsia="zh"/>
              </w:rPr>
              <w:t>.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企业在发行阶段处于并购中的，应披露包括但不限于并购目的、并购标的基本情况（可隐去具体名称等身份信息）、并购双方关联关系、并购资金安排、拟使用募集资金、投资方式、权益性资金占比、并购所处阶段等。</w:t>
            </w:r>
          </w:p>
        </w:tc>
      </w:tr>
      <w:tr w:rsidR="000B6FC4" w14:paraId="659CC464" w14:textId="77777777">
        <w:trPr>
          <w:trHeight w:val="132"/>
          <w:jc w:val="center"/>
        </w:trPr>
        <w:tc>
          <w:tcPr>
            <w:tcW w:w="3109" w:type="dxa"/>
            <w:vMerge/>
            <w:vAlign w:val="center"/>
          </w:tcPr>
          <w:p w14:paraId="3B0B584A" w14:textId="77777777" w:rsidR="000B6FC4" w:rsidRDefault="000B6FC4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</w:p>
        </w:tc>
        <w:tc>
          <w:tcPr>
            <w:tcW w:w="6351" w:type="dxa"/>
            <w:vAlign w:val="center"/>
          </w:tcPr>
          <w:p w14:paraId="3D46F11D" w14:textId="3BC08A8C" w:rsidR="000B6FC4" w:rsidRDefault="00000000">
            <w:pPr>
              <w:spacing w:line="240" w:lineRule="auto"/>
              <w:ind w:firstLineChars="0" w:firstLine="0"/>
              <w:rPr>
                <w:rFonts w:ascii="仿宋" w:hAnsi="仿宋" w:cs="Times New Roman" w:hint="eastAsia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3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  <w:lang w:eastAsia="zh"/>
              </w:rPr>
              <w:t>.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企业在发行阶段并购已完成的，应披露包括但不限于并购目的、持股关系、并购交易对企业财务情况的影响，以及并购标的发展前景、协同效应、整合安排。</w:t>
            </w:r>
          </w:p>
        </w:tc>
      </w:tr>
      <w:tr w:rsidR="000B6FC4" w14:paraId="60D8F60F" w14:textId="77777777">
        <w:trPr>
          <w:trHeight w:val="132"/>
          <w:jc w:val="center"/>
        </w:trPr>
        <w:tc>
          <w:tcPr>
            <w:tcW w:w="3109" w:type="dxa"/>
            <w:vMerge/>
            <w:vAlign w:val="center"/>
          </w:tcPr>
          <w:p w14:paraId="4A272EE2" w14:textId="77777777" w:rsidR="000B6FC4" w:rsidRDefault="000B6FC4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</w:p>
        </w:tc>
        <w:tc>
          <w:tcPr>
            <w:tcW w:w="6351" w:type="dxa"/>
            <w:vAlign w:val="center"/>
          </w:tcPr>
          <w:p w14:paraId="5C3E65EC" w14:textId="648FEB3C" w:rsidR="000B6FC4" w:rsidRDefault="00000000">
            <w:pPr>
              <w:spacing w:line="240" w:lineRule="auto"/>
              <w:ind w:firstLineChars="0" w:firstLine="0"/>
              <w:rPr>
                <w:rFonts w:ascii="仿宋" w:hAnsi="仿宋" w:cs="Times New Roman" w:hint="eastAsia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4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  <w:lang w:eastAsia="zh"/>
              </w:rPr>
              <w:t>.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如涉及重大资产重组的，应满足现有重大资产重组的披露要求。</w:t>
            </w:r>
          </w:p>
        </w:tc>
      </w:tr>
      <w:tr w:rsidR="000B6FC4" w14:paraId="7324BEC1" w14:textId="77777777">
        <w:trPr>
          <w:trHeight w:val="132"/>
          <w:jc w:val="center"/>
        </w:trPr>
        <w:tc>
          <w:tcPr>
            <w:tcW w:w="3109" w:type="dxa"/>
            <w:vMerge/>
            <w:vAlign w:val="center"/>
          </w:tcPr>
          <w:p w14:paraId="7E6489CB" w14:textId="77777777" w:rsidR="000B6FC4" w:rsidRDefault="000B6FC4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</w:p>
        </w:tc>
        <w:tc>
          <w:tcPr>
            <w:tcW w:w="6351" w:type="dxa"/>
            <w:vAlign w:val="center"/>
          </w:tcPr>
          <w:p w14:paraId="7207239C" w14:textId="0040367E" w:rsidR="000B6FC4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5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  <w:lang w:eastAsia="zh"/>
              </w:rPr>
              <w:t>.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增加以下承诺：</w:t>
            </w:r>
          </w:p>
          <w:p w14:paraId="16EE030C" w14:textId="77777777" w:rsidR="000B6FC4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80"/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合</w:t>
            </w:r>
            <w:proofErr w:type="gramStart"/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规</w:t>
            </w:r>
            <w:proofErr w:type="gramEnd"/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性承诺。发行人承诺本次并购交易符合国家产业政策、行业准入、反垄断、国有资产转让政策（如有）、外商投资管理政策（如有）及其他相关法律、法规、规章和规范性文件的规定，并购交易合法合</w:t>
            </w:r>
            <w:proofErr w:type="gramStart"/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规</w:t>
            </w:r>
            <w:proofErr w:type="gramEnd"/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；交易定价过程公平合理、依据充分，不存在利益输送、国有资产流失等违法违规情形；不存在法律障碍，不存在其他可能对本次并购交易构成影响的法律问题和风险。</w:t>
            </w:r>
          </w:p>
          <w:p w14:paraId="43F7A213" w14:textId="77777777" w:rsidR="000B6FC4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80"/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募集资金用途承诺。发行人承诺用于并购的募集资金占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lastRenderedPageBreak/>
              <w:t>并购交易价款的比例</w:t>
            </w:r>
            <w:r>
              <w:rPr>
                <w:rFonts w:ascii="仿宋" w:hAnsi="仿宋" w:cs="Times New Roman" w:hint="eastAsia"/>
                <w:color w:val="000000"/>
                <w:kern w:val="0"/>
                <w:sz w:val="24"/>
                <w:szCs w:val="22"/>
              </w:rPr>
              <w:t>不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高于70%，权益性资金占并购交易价款的比例不低于30%。企业发行并购票据用于参股的，承诺并购后持有目标企业的股权比例不低于20%。</w:t>
            </w:r>
          </w:p>
          <w:p w14:paraId="0E118E05" w14:textId="77777777" w:rsidR="000B6FC4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80"/>
              <w:rPr>
                <w:rFonts w:ascii="仿宋" w:hAnsi="仿宋" w:cs="Calibri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募集资金用途承诺。发行人承诺募集资金</w:t>
            </w:r>
            <w:r>
              <w:rPr>
                <w:rFonts w:ascii="仿宋" w:hAnsi="仿宋" w:cs="Times New Roman" w:hint="eastAsia"/>
                <w:sz w:val="24"/>
                <w:szCs w:val="22"/>
              </w:rPr>
              <w:t>不用于上市公司二级市场股票投资</w:t>
            </w:r>
            <w:r>
              <w:rPr>
                <w:rFonts w:ascii="仿宋" w:hAnsi="仿宋" w:cs="Calibri" w:hint="eastAsia"/>
                <w:color w:val="000000"/>
                <w:kern w:val="0"/>
                <w:sz w:val="24"/>
                <w:szCs w:val="22"/>
              </w:rPr>
              <w:t>。</w:t>
            </w:r>
          </w:p>
          <w:p w14:paraId="5282047F" w14:textId="77777777" w:rsidR="000B6FC4" w:rsidRDefault="00000000">
            <w:pPr>
              <w:spacing w:line="240" w:lineRule="auto"/>
              <w:ind w:firstLine="480"/>
              <w:rPr>
                <w:rFonts w:ascii="仿宋" w:hAnsi="仿宋" w:cs="Times New Roman" w:hint="eastAsia"/>
                <w:sz w:val="24"/>
                <w:szCs w:val="22"/>
              </w:rPr>
            </w:pPr>
            <w:r>
              <w:rPr>
                <w:rFonts w:ascii="仿宋" w:hAnsi="仿宋" w:cs="Times New Roman" w:hint="eastAsia"/>
                <w:sz w:val="24"/>
                <w:szCs w:val="22"/>
              </w:rPr>
              <w:t>募集资金监管承诺。承诺签署资金监管协议，设立募集资金监管账户，对用于并购交易的资金实施监管，并承诺严格按照注册发行文件中所约定的用途使用，募集资金不得擅自挪作他用。</w:t>
            </w:r>
          </w:p>
          <w:p w14:paraId="60F35C31" w14:textId="3A771D25" w:rsidR="000B6FC4" w:rsidRDefault="00000000">
            <w:pPr>
              <w:spacing w:line="240" w:lineRule="auto"/>
              <w:ind w:firstLine="480"/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存续期变更募集资金用途承诺。并购票据发行后，如因并购取消或发生重大调整等事项，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  <w:lang w:eastAsia="zh"/>
              </w:rPr>
              <w:t>承诺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经持有人会议表决同意后可变更为常规募集资金用途。</w:t>
            </w:r>
          </w:p>
        </w:tc>
      </w:tr>
      <w:tr w:rsidR="000B6FC4" w14:paraId="24139A39" w14:textId="77777777">
        <w:trPr>
          <w:trHeight w:val="132"/>
          <w:jc w:val="center"/>
        </w:trPr>
        <w:tc>
          <w:tcPr>
            <w:tcW w:w="3109" w:type="dxa"/>
            <w:vAlign w:val="center"/>
          </w:tcPr>
          <w:p w14:paraId="63B6F516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bookmarkStart w:id="5" w:name="OLE_LINK49"/>
            <w:bookmarkEnd w:id="3"/>
            <w:bookmarkEnd w:id="4"/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募集说明书</w:t>
            </w:r>
          </w:p>
          <w:p w14:paraId="7CE53A4F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——</w:t>
            </w:r>
          </w:p>
          <w:p w14:paraId="00FAE96E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  <w:szCs w:val="22"/>
              </w:rPr>
              <w:t>信息披露安排章节</w:t>
            </w:r>
            <w:bookmarkEnd w:id="5"/>
          </w:p>
        </w:tc>
        <w:tc>
          <w:tcPr>
            <w:tcW w:w="6351" w:type="dxa"/>
            <w:vAlign w:val="center"/>
          </w:tcPr>
          <w:p w14:paraId="34D9D6D6" w14:textId="77777777" w:rsidR="000B6FC4" w:rsidRDefault="00000000">
            <w:pPr>
              <w:spacing w:line="240" w:lineRule="auto"/>
              <w:ind w:firstLineChars="0" w:firstLine="0"/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并购票据存续期内每年4月30日、8月31日前，企业应披露上一年度、本年度上半年募集资金使用情况及并购项目、并购交易进展情况。</w:t>
            </w:r>
          </w:p>
        </w:tc>
      </w:tr>
      <w:tr w:rsidR="000B6FC4" w14:paraId="781DB9F4" w14:textId="77777777">
        <w:trPr>
          <w:trHeight w:val="270"/>
          <w:jc w:val="center"/>
        </w:trPr>
        <w:tc>
          <w:tcPr>
            <w:tcW w:w="3109" w:type="dxa"/>
            <w:vAlign w:val="center"/>
          </w:tcPr>
          <w:p w14:paraId="1F1050D1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bookmarkStart w:id="6" w:name="OLE_LINK25"/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募集说明书</w:t>
            </w:r>
          </w:p>
          <w:p w14:paraId="4FF9246D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——</w:t>
            </w:r>
          </w:p>
          <w:p w14:paraId="23F73829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bCs/>
                <w:color w:val="000000"/>
                <w:kern w:val="0"/>
                <w:sz w:val="24"/>
                <w:szCs w:val="22"/>
              </w:rPr>
              <w:t>备查文件</w:t>
            </w:r>
            <w:bookmarkEnd w:id="6"/>
          </w:p>
        </w:tc>
        <w:tc>
          <w:tcPr>
            <w:tcW w:w="6351" w:type="dxa"/>
            <w:vAlign w:val="center"/>
          </w:tcPr>
          <w:p w14:paraId="5E3254DC" w14:textId="77777777" w:rsidR="000B6FC4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增加以下备查文件：</w:t>
            </w:r>
          </w:p>
          <w:p w14:paraId="4BEE5F34" w14:textId="1C2A0B61" w:rsidR="000B6FC4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80"/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1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  <w:lang w:eastAsia="zh"/>
              </w:rPr>
              <w:t>.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交易双方达成的交易框架协议（如有）；</w:t>
            </w:r>
          </w:p>
          <w:p w14:paraId="12C71B38" w14:textId="14034F0C" w:rsidR="000B6FC4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80"/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2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  <w:lang w:eastAsia="zh"/>
              </w:rPr>
              <w:t>.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产权评估报告或其他产权估价依据（如有）；</w:t>
            </w:r>
          </w:p>
          <w:p w14:paraId="7B6BF833" w14:textId="5DFC4BC9" w:rsidR="000B6FC4" w:rsidRDefault="00000000">
            <w:pPr>
              <w:spacing w:line="240" w:lineRule="auto"/>
              <w:ind w:firstLine="48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3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  <w:lang w:eastAsia="zh"/>
              </w:rPr>
              <w:t>.</w:t>
            </w:r>
            <w:r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  <w:t>并购方上级或主管部门批复文件（如有）。</w:t>
            </w:r>
          </w:p>
        </w:tc>
      </w:tr>
      <w:tr w:rsidR="000B6FC4" w14:paraId="7DD86987" w14:textId="77777777">
        <w:trPr>
          <w:trHeight w:val="270"/>
          <w:jc w:val="center"/>
        </w:trPr>
        <w:tc>
          <w:tcPr>
            <w:tcW w:w="3109" w:type="dxa"/>
            <w:vAlign w:val="center"/>
          </w:tcPr>
          <w:p w14:paraId="2773C88B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募集说明书</w:t>
            </w:r>
          </w:p>
          <w:p w14:paraId="1FE13C90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kern w:val="0"/>
                <w:sz w:val="24"/>
              </w:rPr>
              <w:t>——</w:t>
            </w:r>
          </w:p>
          <w:p w14:paraId="1EDD1F68" w14:textId="77777777" w:rsidR="000B6FC4" w:rsidRDefault="00000000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 w:hint="eastAsia"/>
                <w:b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b/>
                <w:bCs/>
                <w:color w:val="000000"/>
                <w:kern w:val="0"/>
                <w:sz w:val="24"/>
                <w:szCs w:val="22"/>
              </w:rPr>
              <w:t>特殊条款（如有）</w:t>
            </w:r>
          </w:p>
        </w:tc>
        <w:tc>
          <w:tcPr>
            <w:tcW w:w="6351" w:type="dxa"/>
            <w:vAlign w:val="center"/>
          </w:tcPr>
          <w:p w14:paraId="240A8A03" w14:textId="77777777" w:rsidR="000B6FC4" w:rsidRDefault="00000000">
            <w:pPr>
              <w:spacing w:line="240" w:lineRule="auto"/>
              <w:ind w:firstLineChars="0" w:firstLine="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kern w:val="0"/>
                <w:sz w:val="24"/>
              </w:rPr>
              <w:t>包括但不限于：</w:t>
            </w:r>
          </w:p>
          <w:p w14:paraId="435D5587" w14:textId="32F4425A" w:rsidR="000B6FC4" w:rsidRDefault="00000000">
            <w:pPr>
              <w:spacing w:line="240" w:lineRule="auto"/>
              <w:ind w:firstLine="48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kern w:val="0"/>
                <w:sz w:val="24"/>
              </w:rPr>
              <w:t>1</w:t>
            </w:r>
            <w:r>
              <w:rPr>
                <w:rFonts w:ascii="仿宋" w:hAnsi="仿宋" w:cs="Times New Roman" w:hint="eastAsia"/>
                <w:kern w:val="0"/>
                <w:sz w:val="24"/>
                <w:lang w:eastAsia="zh"/>
              </w:rPr>
              <w:t>.</w:t>
            </w:r>
            <w:r>
              <w:rPr>
                <w:rFonts w:ascii="仿宋" w:hAnsi="仿宋" w:cs="Times New Roman" w:hint="eastAsia"/>
                <w:kern w:val="0"/>
                <w:sz w:val="24"/>
              </w:rPr>
              <w:t>分期偿还本金</w:t>
            </w:r>
          </w:p>
          <w:p w14:paraId="6EA6FDF9" w14:textId="77777777" w:rsidR="000B6FC4" w:rsidRDefault="00000000">
            <w:pPr>
              <w:spacing w:line="240" w:lineRule="auto"/>
              <w:ind w:firstLine="48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kern w:val="0"/>
                <w:sz w:val="24"/>
              </w:rPr>
              <w:t>若发行人涉及分期偿还本金的，披露还本付息具体方式，包括每年度拟偿还金额、偿还日期等相关信息。</w:t>
            </w:r>
          </w:p>
          <w:p w14:paraId="176A22CF" w14:textId="5FA2327D" w:rsidR="000B6FC4" w:rsidRDefault="00000000">
            <w:pPr>
              <w:spacing w:line="240" w:lineRule="auto"/>
              <w:ind w:firstLine="48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kern w:val="0"/>
                <w:sz w:val="24"/>
              </w:rPr>
              <w:t>2</w:t>
            </w:r>
            <w:r>
              <w:rPr>
                <w:rFonts w:ascii="仿宋" w:hAnsi="仿宋" w:cs="Times New Roman" w:hint="eastAsia"/>
                <w:kern w:val="0"/>
                <w:sz w:val="24"/>
                <w:lang w:eastAsia="zh"/>
              </w:rPr>
              <w:t>.</w:t>
            </w:r>
            <w:r>
              <w:rPr>
                <w:rFonts w:ascii="仿宋" w:hAnsi="仿宋" w:cs="Times New Roman" w:hint="eastAsia"/>
                <w:kern w:val="0"/>
                <w:sz w:val="24"/>
              </w:rPr>
              <w:t>转股权</w:t>
            </w:r>
          </w:p>
          <w:p w14:paraId="5DC621A9" w14:textId="6C77BD4C" w:rsidR="000B6FC4" w:rsidRDefault="00000000">
            <w:pPr>
              <w:spacing w:line="240" w:lineRule="auto"/>
              <w:ind w:firstLine="48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kern w:val="0"/>
                <w:sz w:val="24"/>
              </w:rPr>
              <w:t>涉及转换为企业股权的，披露标的企业的基本情况、转股条款(包括转股价格、转股行权期、价值评估、转股份额、锁定期（如有）、转股价格/数量调整条款等)、转股流程等内容。</w:t>
            </w:r>
          </w:p>
          <w:p w14:paraId="15062EA8" w14:textId="48A60F49" w:rsidR="000B6FC4" w:rsidRDefault="00000000">
            <w:pPr>
              <w:spacing w:line="240" w:lineRule="auto"/>
              <w:ind w:firstLine="480"/>
              <w:rPr>
                <w:rFonts w:ascii="仿宋" w:hAnsi="仿宋" w:cs="Times New Roman" w:hint="eastAsia"/>
                <w:kern w:val="0"/>
                <w:sz w:val="24"/>
              </w:rPr>
            </w:pPr>
            <w:r>
              <w:rPr>
                <w:rFonts w:ascii="仿宋" w:hAnsi="仿宋" w:cs="Times New Roman" w:hint="eastAsia"/>
                <w:kern w:val="0"/>
                <w:sz w:val="24"/>
              </w:rPr>
              <w:t>3</w:t>
            </w:r>
            <w:r>
              <w:rPr>
                <w:rFonts w:ascii="仿宋" w:hAnsi="仿宋" w:cs="Times New Roman" w:hint="eastAsia"/>
                <w:kern w:val="0"/>
                <w:sz w:val="24"/>
                <w:lang w:eastAsia="zh"/>
              </w:rPr>
              <w:t>.</w:t>
            </w:r>
            <w:r>
              <w:rPr>
                <w:rFonts w:ascii="仿宋" w:hAnsi="仿宋" w:cs="Times New Roman" w:hint="eastAsia"/>
                <w:kern w:val="0"/>
                <w:sz w:val="24"/>
              </w:rPr>
              <w:t>认股权</w:t>
            </w:r>
          </w:p>
          <w:p w14:paraId="2938A9D7" w14:textId="25A534F8" w:rsidR="000B6FC4" w:rsidRDefault="00000000">
            <w:pPr>
              <w:spacing w:line="240" w:lineRule="auto"/>
              <w:ind w:firstLine="480"/>
              <w:rPr>
                <w:rFonts w:ascii="仿宋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cs="Times New Roman" w:hint="eastAsia"/>
                <w:kern w:val="0"/>
                <w:sz w:val="24"/>
              </w:rPr>
              <w:t>涉及认购企业股权的，披露标的企业的基本情况、认股条款(包括行权价格、行权期限、价值评估、行权数量、行权方式、锁定期（如有）、行权价格/数量调整条款等)、行权流程等内容。</w:t>
            </w:r>
          </w:p>
        </w:tc>
      </w:tr>
    </w:tbl>
    <w:p w14:paraId="72556ABC" w14:textId="77777777" w:rsidR="000B6FC4" w:rsidRDefault="000B6FC4">
      <w:pPr>
        <w:ind w:firstLineChars="0" w:firstLine="0"/>
        <w:jc w:val="left"/>
        <w:rPr>
          <w:rFonts w:cs="Times New Roman"/>
          <w:szCs w:val="32"/>
        </w:rPr>
      </w:pPr>
    </w:p>
    <w:sectPr w:rsidR="000B6F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FAAE" w14:textId="77777777" w:rsidR="003A0ABB" w:rsidRDefault="003A0ABB">
      <w:pPr>
        <w:spacing w:line="240" w:lineRule="auto"/>
        <w:ind w:firstLine="640"/>
      </w:pPr>
      <w:r>
        <w:separator/>
      </w:r>
    </w:p>
  </w:endnote>
  <w:endnote w:type="continuationSeparator" w:id="0">
    <w:p w14:paraId="50ACBC9A" w14:textId="77777777" w:rsidR="003A0ABB" w:rsidRDefault="003A0AB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9986" w14:textId="77777777" w:rsidR="000B6FC4" w:rsidRDefault="000B6FC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439476"/>
    </w:sdtPr>
    <w:sdtContent>
      <w:p w14:paraId="01704B8E" w14:textId="77777777" w:rsidR="000B6FC4" w:rsidRDefault="00000000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0F3CAF" w14:textId="77777777" w:rsidR="000B6FC4" w:rsidRDefault="000B6FC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C0D1" w14:textId="77777777" w:rsidR="000B6FC4" w:rsidRDefault="000B6FC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6B69" w14:textId="77777777" w:rsidR="003A0ABB" w:rsidRDefault="003A0ABB">
      <w:pPr>
        <w:spacing w:line="240" w:lineRule="auto"/>
        <w:ind w:firstLine="640"/>
      </w:pPr>
      <w:r>
        <w:separator/>
      </w:r>
    </w:p>
  </w:footnote>
  <w:footnote w:type="continuationSeparator" w:id="0">
    <w:p w14:paraId="38E2D536" w14:textId="77777777" w:rsidR="003A0ABB" w:rsidRDefault="003A0AB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96B5" w14:textId="77777777" w:rsidR="000B6FC4" w:rsidRDefault="000B6FC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1962" w14:textId="77777777" w:rsidR="000B6FC4" w:rsidRDefault="000B6FC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7914" w14:textId="77777777" w:rsidR="000B6FC4" w:rsidRDefault="000B6FC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E1"/>
    <w:rsid w:val="97BFC72C"/>
    <w:rsid w:val="BEBF964E"/>
    <w:rsid w:val="DEE3949B"/>
    <w:rsid w:val="F2FAFB48"/>
    <w:rsid w:val="F57BA502"/>
    <w:rsid w:val="FCE592F6"/>
    <w:rsid w:val="FDFB51D8"/>
    <w:rsid w:val="00013248"/>
    <w:rsid w:val="000B6FC4"/>
    <w:rsid w:val="00150EF0"/>
    <w:rsid w:val="001C50D0"/>
    <w:rsid w:val="001E67B1"/>
    <w:rsid w:val="0020617B"/>
    <w:rsid w:val="00305C10"/>
    <w:rsid w:val="003A0ABB"/>
    <w:rsid w:val="004A4FD0"/>
    <w:rsid w:val="004B01E2"/>
    <w:rsid w:val="00552A59"/>
    <w:rsid w:val="00615D5C"/>
    <w:rsid w:val="006540E1"/>
    <w:rsid w:val="00670BE1"/>
    <w:rsid w:val="00771294"/>
    <w:rsid w:val="0078161F"/>
    <w:rsid w:val="00793699"/>
    <w:rsid w:val="007E2198"/>
    <w:rsid w:val="008456E5"/>
    <w:rsid w:val="008657CB"/>
    <w:rsid w:val="00894C76"/>
    <w:rsid w:val="008B296C"/>
    <w:rsid w:val="00943C59"/>
    <w:rsid w:val="00956FBB"/>
    <w:rsid w:val="0098624B"/>
    <w:rsid w:val="009B4F7E"/>
    <w:rsid w:val="00A05F7D"/>
    <w:rsid w:val="00A27315"/>
    <w:rsid w:val="00A62E22"/>
    <w:rsid w:val="00A63FBE"/>
    <w:rsid w:val="00AC347E"/>
    <w:rsid w:val="00B17C16"/>
    <w:rsid w:val="00B70907"/>
    <w:rsid w:val="00C00B96"/>
    <w:rsid w:val="00C72CBB"/>
    <w:rsid w:val="00C72F7D"/>
    <w:rsid w:val="00C818CA"/>
    <w:rsid w:val="00CC5631"/>
    <w:rsid w:val="00DA4777"/>
    <w:rsid w:val="00E50967"/>
    <w:rsid w:val="00EB3884"/>
    <w:rsid w:val="00F403DE"/>
    <w:rsid w:val="00F70BF0"/>
    <w:rsid w:val="00FC6A15"/>
    <w:rsid w:val="00FE1701"/>
    <w:rsid w:val="00FF7ED1"/>
    <w:rsid w:val="32BFB198"/>
    <w:rsid w:val="35FD5475"/>
    <w:rsid w:val="44C71A91"/>
    <w:rsid w:val="4FFFC094"/>
    <w:rsid w:val="59055A1F"/>
    <w:rsid w:val="6EF3D9AC"/>
    <w:rsid w:val="74F7A6FF"/>
    <w:rsid w:val="77125216"/>
    <w:rsid w:val="77DF8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37774A"/>
  <w15:docId w15:val="{D3895BB9-4077-4F80-B6FD-70EB8A42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0">
    <w:name w:val="Revision"/>
    <w:hidden/>
    <w:uiPriority w:val="99"/>
    <w:unhideWhenUsed/>
    <w:rsid w:val="00793699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 Z</dc:creator>
  <cp:lastModifiedBy>Jy Z</cp:lastModifiedBy>
  <cp:revision>4</cp:revision>
  <cp:lastPrinted>2025-12-02T17:12:00Z</cp:lastPrinted>
  <dcterms:created xsi:type="dcterms:W3CDTF">2025-12-02T17:00:00Z</dcterms:created>
  <dcterms:modified xsi:type="dcterms:W3CDTF">2025-12-02T10:47:00Z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eyJoZGlkIjoiYzVkMWFjMjBmMGE3NDJiYjE5MWFkYTU4OWE0Mjc0MDAiLCJ1c2VySWQiOiIyMzg4NTg4MDYifQ==</vt:lpwstr>
  </property>
  <property fmtid="{D5CDD505-2E9C-101B-9397-08002B2CF9AE}" pid="3" name="KSOProductBuildVer">
    <vt:lpwstr>2052-0.0.0.0</vt:lpwstr>
  </property>
  <property fmtid="{D5CDD505-2E9C-101B-9397-08002B2CF9AE}" pid="4" name="ICV">
    <vt:lpwstr>8F862D30866429849EB02E69D04FEEB4_43</vt:lpwstr>
  </property>
</Properties>
</file>