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6" w:lineRule="auto"/>
        <w:jc w:val="left"/>
        <w:rPr>
          <w:rFonts w:hint="eastAsia" w:ascii="Times New Roman" w:hAnsi="Times New Roman" w:eastAsia="黑体" w:cs="Times New Roman"/>
          <w:sz w:val="32"/>
          <w:szCs w:val="32"/>
          <w:lang w:val="en-US" w:eastAsia="zh-CN"/>
        </w:rPr>
      </w:pPr>
      <w:bookmarkStart w:id="0" w:name="_GoBack"/>
      <w:bookmarkEnd w:id="0"/>
      <w:r>
        <w:rPr>
          <w:rFonts w:hint="eastAsia" w:eastAsia="黑体"/>
          <w:sz w:val="32"/>
          <w:szCs w:val="32"/>
        </w:rPr>
        <w:t>附件</w:t>
      </w:r>
      <w:r>
        <w:rPr>
          <w:rFonts w:hint="eastAsia" w:eastAsia="黑体" w:cs="Times New Roman"/>
          <w:sz w:val="32"/>
          <w:szCs w:val="32"/>
          <w:lang w:val="en-US" w:eastAsia="zh-CN"/>
        </w:rPr>
        <w:t>2</w:t>
      </w:r>
    </w:p>
    <w:p>
      <w:pPr>
        <w:spacing w:line="276" w:lineRule="auto"/>
        <w:jc w:val="center"/>
        <w:rPr>
          <w:rFonts w:hint="eastAsia" w:ascii="方正小标宋简体" w:hAnsi="方正小标宋简体" w:eastAsia="方正小标宋简体" w:cs="方正小标宋简体"/>
          <w:b w:val="0"/>
          <w:bCs/>
          <w:sz w:val="44"/>
          <w:szCs w:val="44"/>
          <w:highlight w:val="none"/>
        </w:rPr>
      </w:pPr>
      <w:r>
        <w:rPr>
          <w:rFonts w:hint="eastAsia" w:ascii="方正小标宋简体" w:hAnsi="方正小标宋简体" w:eastAsia="方正小标宋简体" w:cs="方正小标宋简体"/>
          <w:b w:val="0"/>
          <w:bCs/>
          <w:sz w:val="44"/>
          <w:szCs w:val="44"/>
          <w:highlight w:val="none"/>
          <w:lang w:val="en-US" w:eastAsia="zh-CN"/>
        </w:rPr>
        <w:t>郑州商品</w:t>
      </w:r>
      <w:r>
        <w:rPr>
          <w:rFonts w:hint="eastAsia" w:ascii="方正小标宋简体" w:hAnsi="方正小标宋简体" w:eastAsia="方正小标宋简体" w:cs="方正小标宋简体"/>
          <w:b w:val="0"/>
          <w:bCs/>
          <w:sz w:val="44"/>
          <w:szCs w:val="44"/>
          <w:highlight w:val="none"/>
        </w:rPr>
        <w:t>交易所结算规则</w:t>
      </w:r>
    </w:p>
    <w:p>
      <w:pPr>
        <w:spacing w:before="240"/>
        <w:ind w:firstLine="480" w:firstLineChars="200"/>
        <w:contextualSpacing/>
        <w:jc w:val="both"/>
        <w:rPr>
          <w:rFonts w:hint="eastAsia" w:ascii="楷体" w:hAnsi="楷体" w:eastAsia="楷体" w:cs="楷体"/>
          <w:kern w:val="0"/>
          <w:sz w:val="24"/>
          <w:szCs w:val="24"/>
        </w:rPr>
      </w:pPr>
      <w:r>
        <w:rPr>
          <w:rFonts w:hint="eastAsia" w:ascii="楷体" w:hAnsi="楷体" w:eastAsia="楷体" w:cs="楷体"/>
          <w:kern w:val="0"/>
          <w:sz w:val="24"/>
          <w:szCs w:val="24"/>
        </w:rPr>
        <w:t>（</w:t>
      </w:r>
      <w:r>
        <w:rPr>
          <w:rFonts w:hint="eastAsia" w:ascii="楷体" w:hAnsi="楷体" w:eastAsia="楷体" w:cs="楷体"/>
          <w:kern w:val="0"/>
          <w:sz w:val="24"/>
          <w:szCs w:val="24"/>
          <w:lang w:eastAsia="zh-CN"/>
        </w:rPr>
        <w:t>202</w:t>
      </w:r>
      <w:r>
        <w:rPr>
          <w:rFonts w:hint="eastAsia" w:ascii="楷体" w:hAnsi="楷体" w:eastAsia="楷体" w:cs="楷体"/>
          <w:kern w:val="0"/>
          <w:sz w:val="24"/>
          <w:szCs w:val="24"/>
          <w:lang w:val="en-US" w:eastAsia="zh-CN"/>
        </w:rPr>
        <w:t>6</w:t>
      </w:r>
      <w:r>
        <w:rPr>
          <w:rFonts w:hint="eastAsia" w:ascii="楷体" w:hAnsi="楷体" w:eastAsia="楷体" w:cs="楷体"/>
          <w:kern w:val="0"/>
          <w:sz w:val="24"/>
          <w:szCs w:val="24"/>
          <w:lang w:eastAsia="zh-CN"/>
        </w:rPr>
        <w:t>年</w:t>
      </w:r>
      <w:r>
        <w:rPr>
          <w:rFonts w:hint="eastAsia" w:ascii="楷体" w:hAnsi="楷体" w:eastAsia="楷体" w:cs="楷体"/>
          <w:kern w:val="0"/>
          <w:sz w:val="24"/>
          <w:szCs w:val="24"/>
          <w:lang w:val="en-US" w:eastAsia="zh-CN"/>
        </w:rPr>
        <w:t>1</w:t>
      </w:r>
      <w:r>
        <w:rPr>
          <w:rFonts w:hint="eastAsia" w:ascii="楷体" w:hAnsi="楷体" w:eastAsia="楷体" w:cs="楷体"/>
          <w:kern w:val="0"/>
          <w:sz w:val="24"/>
          <w:szCs w:val="24"/>
          <w:lang w:eastAsia="zh-CN"/>
        </w:rPr>
        <w:t>月</w:t>
      </w:r>
      <w:r>
        <w:rPr>
          <w:rFonts w:hint="eastAsia" w:ascii="楷体" w:hAnsi="楷体" w:eastAsia="楷体" w:cs="楷体"/>
          <w:kern w:val="0"/>
          <w:sz w:val="24"/>
          <w:szCs w:val="24"/>
          <w:lang w:val="en-US" w:eastAsia="zh-CN"/>
        </w:rPr>
        <w:t>6</w:t>
      </w:r>
      <w:r>
        <w:rPr>
          <w:rFonts w:hint="eastAsia" w:ascii="楷体" w:hAnsi="楷体" w:eastAsia="楷体" w:cs="楷体"/>
          <w:kern w:val="0"/>
          <w:sz w:val="24"/>
          <w:szCs w:val="24"/>
          <w:lang w:eastAsia="zh-CN"/>
        </w:rPr>
        <w:t>日</w:t>
      </w:r>
      <w:r>
        <w:rPr>
          <w:rFonts w:hint="eastAsia" w:ascii="楷体" w:hAnsi="楷体" w:eastAsia="楷体" w:cs="楷体"/>
          <w:kern w:val="0"/>
          <w:sz w:val="24"/>
          <w:szCs w:val="24"/>
        </w:rPr>
        <w:t>郑州商品交易所</w:t>
      </w:r>
      <w:r>
        <w:rPr>
          <w:rFonts w:hint="eastAsia" w:ascii="楷体" w:hAnsi="楷体" w:eastAsia="楷体" w:cs="楷体"/>
          <w:kern w:val="0"/>
          <w:sz w:val="24"/>
          <w:szCs w:val="24"/>
          <w:lang w:eastAsia="zh-CN"/>
        </w:rPr>
        <w:t>临时会员大会</w:t>
      </w:r>
      <w:r>
        <w:rPr>
          <w:rFonts w:hint="eastAsia" w:ascii="楷体" w:hAnsi="楷体" w:eastAsia="楷体" w:cs="楷体"/>
          <w:kern w:val="0"/>
          <w:sz w:val="24"/>
          <w:szCs w:val="24"/>
          <w:lang w:val="en-US" w:eastAsia="zh-CN"/>
        </w:rPr>
        <w:t>审议通过，2026年</w:t>
      </w:r>
      <w:r>
        <w:rPr>
          <w:rFonts w:hint="default" w:ascii="楷体" w:hAnsi="楷体" w:eastAsia="楷体" w:cs="楷体"/>
          <w:kern w:val="0"/>
          <w:sz w:val="24"/>
          <w:szCs w:val="24"/>
          <w:lang w:val="en-US" w:eastAsia="zh-CN"/>
        </w:rPr>
        <w:t>3</w:t>
      </w:r>
      <w:r>
        <w:rPr>
          <w:rFonts w:hint="eastAsia" w:ascii="楷体" w:hAnsi="楷体" w:eastAsia="楷体" w:cs="楷体"/>
          <w:kern w:val="0"/>
          <w:sz w:val="24"/>
          <w:szCs w:val="24"/>
          <w:lang w:val="en-US" w:eastAsia="zh-CN"/>
        </w:rPr>
        <w:t>月</w:t>
      </w:r>
      <w:r>
        <w:rPr>
          <w:rFonts w:hint="default" w:ascii="楷体" w:hAnsi="楷体" w:eastAsia="楷体" w:cs="楷体"/>
          <w:kern w:val="0"/>
          <w:sz w:val="24"/>
          <w:szCs w:val="24"/>
          <w:lang w:val="en-US" w:eastAsia="zh-CN"/>
        </w:rPr>
        <w:t>13</w:t>
      </w:r>
      <w:r>
        <w:rPr>
          <w:rFonts w:hint="eastAsia" w:ascii="楷体" w:hAnsi="楷体" w:eastAsia="楷体" w:cs="楷体"/>
          <w:kern w:val="0"/>
          <w:sz w:val="24"/>
          <w:szCs w:val="24"/>
          <w:lang w:val="en-US" w:eastAsia="zh-CN"/>
        </w:rPr>
        <w:t>日〔2026〕</w:t>
      </w:r>
      <w:r>
        <w:rPr>
          <w:rFonts w:hint="eastAsia" w:ascii="楷体" w:hAnsi="楷体" w:eastAsia="楷体" w:cs="楷体"/>
          <w:kern w:val="0"/>
          <w:sz w:val="24"/>
          <w:szCs w:val="24"/>
          <w:highlight w:val="none"/>
          <w:lang w:val="en-US" w:eastAsia="zh-CN"/>
        </w:rPr>
        <w:t>44</w:t>
      </w:r>
      <w:r>
        <w:rPr>
          <w:rFonts w:hint="eastAsia" w:ascii="楷体" w:hAnsi="楷体" w:eastAsia="楷体" w:cs="楷体"/>
          <w:kern w:val="0"/>
          <w:sz w:val="24"/>
          <w:szCs w:val="24"/>
          <w:lang w:val="en-US" w:eastAsia="zh-CN"/>
        </w:rPr>
        <w:t>号公告发布，</w:t>
      </w:r>
      <w:r>
        <w:rPr>
          <w:rFonts w:hint="eastAsia" w:ascii="楷体" w:hAnsi="楷体" w:eastAsia="楷体" w:cs="楷体"/>
          <w:kern w:val="0"/>
          <w:sz w:val="24"/>
          <w:szCs w:val="24"/>
        </w:rPr>
        <w:t>自</w:t>
      </w:r>
      <w:r>
        <w:rPr>
          <w:rFonts w:hint="eastAsia" w:ascii="楷体" w:hAnsi="楷体" w:eastAsia="楷体" w:cs="楷体"/>
          <w:kern w:val="0"/>
          <w:sz w:val="24"/>
          <w:szCs w:val="24"/>
          <w:lang w:val="en-US" w:eastAsia="zh-CN"/>
        </w:rPr>
        <w:t>2026年</w:t>
      </w:r>
      <w:r>
        <w:rPr>
          <w:rFonts w:hint="default" w:ascii="楷体" w:hAnsi="楷体" w:eastAsia="楷体" w:cs="楷体"/>
          <w:kern w:val="0"/>
          <w:sz w:val="24"/>
          <w:szCs w:val="24"/>
          <w:lang w:val="en-US" w:eastAsia="zh-CN"/>
        </w:rPr>
        <w:t>3</w:t>
      </w:r>
      <w:r>
        <w:rPr>
          <w:rFonts w:hint="eastAsia" w:ascii="楷体" w:hAnsi="楷体" w:eastAsia="楷体" w:cs="楷体"/>
          <w:kern w:val="0"/>
          <w:sz w:val="24"/>
          <w:szCs w:val="24"/>
          <w:lang w:val="en-US" w:eastAsia="zh-CN"/>
        </w:rPr>
        <w:t>月</w:t>
      </w:r>
      <w:r>
        <w:rPr>
          <w:rFonts w:hint="default" w:ascii="楷体" w:hAnsi="楷体" w:eastAsia="楷体" w:cs="楷体"/>
          <w:kern w:val="0"/>
          <w:sz w:val="24"/>
          <w:szCs w:val="24"/>
          <w:lang w:val="en-US" w:eastAsia="zh-CN"/>
        </w:rPr>
        <w:t>13</w:t>
      </w:r>
      <w:r>
        <w:rPr>
          <w:rFonts w:hint="eastAsia" w:ascii="楷体" w:hAnsi="楷体" w:eastAsia="楷体" w:cs="楷体"/>
          <w:kern w:val="0"/>
          <w:sz w:val="24"/>
          <w:szCs w:val="24"/>
          <w:lang w:val="en-US" w:eastAsia="zh-CN"/>
        </w:rPr>
        <w:t>日</w:t>
      </w:r>
      <w:r>
        <w:rPr>
          <w:rFonts w:hint="eastAsia" w:ascii="楷体" w:hAnsi="楷体" w:eastAsia="楷体" w:cs="楷体"/>
          <w:kern w:val="0"/>
          <w:sz w:val="24"/>
          <w:szCs w:val="24"/>
        </w:rPr>
        <w:t>起施行）</w:t>
      </w:r>
    </w:p>
    <w:p>
      <w:pPr>
        <w:keepNext w:val="0"/>
        <w:keepLines w:val="0"/>
        <w:pageBreakBefore w:val="0"/>
        <w:widowControl/>
        <w:kinsoku/>
        <w:wordWrap/>
        <w:overflowPunct/>
        <w:topLinePunct w:val="0"/>
        <w:autoSpaceDE/>
        <w:autoSpaceDN/>
        <w:bidi w:val="0"/>
        <w:adjustRightInd/>
        <w:snapToGrid w:val="0"/>
        <w:spacing w:before="0" w:after="0" w:line="600" w:lineRule="exact"/>
        <w:jc w:val="center"/>
        <w:textAlignment w:val="auto"/>
        <w:rPr>
          <w:rFonts w:hint="default" w:ascii="Times New Roman" w:hAnsi="Times New Roman" w:eastAsia="黑体" w:cs="Times New Roman"/>
          <w:color w:val="000000"/>
          <w:kern w:val="0"/>
          <w:sz w:val="32"/>
          <w:szCs w:val="32"/>
          <w:highlight w:val="none"/>
        </w:rPr>
      </w:pPr>
      <w:r>
        <w:rPr>
          <w:rFonts w:hint="default" w:ascii="Times New Roman" w:hAnsi="Times New Roman" w:eastAsia="黑体" w:cs="Times New Roman"/>
          <w:color w:val="000000"/>
          <w:kern w:val="0"/>
          <w:sz w:val="32"/>
          <w:szCs w:val="32"/>
          <w:highlight w:val="none"/>
        </w:rPr>
        <w:t>第一章 总则</w:t>
      </w:r>
    </w:p>
    <w:p>
      <w:pPr>
        <w:keepNext w:val="0"/>
        <w:keepLines w:val="0"/>
        <w:pageBreakBefore w:val="0"/>
        <w:kinsoku/>
        <w:wordWrap/>
        <w:overflowPunct/>
        <w:topLinePunct w:val="0"/>
        <w:autoSpaceDE/>
        <w:autoSpaceDN/>
        <w:bidi w:val="0"/>
        <w:adjustRightInd/>
        <w:snapToGrid w:val="0"/>
        <w:spacing w:before="0" w:line="600" w:lineRule="exact"/>
        <w:ind w:firstLine="642" w:firstLineChars="200"/>
        <w:jc w:val="both"/>
        <w:textAlignment w:val="auto"/>
        <w:rPr>
          <w:rFonts w:hint="eastAsia" w:ascii="仿宋" w:hAnsi="仿宋" w:eastAsia="仿宋" w:cs="仿宋"/>
          <w:color w:val="000000" w:themeColor="text1"/>
          <w:sz w:val="32"/>
          <w:szCs w:val="32"/>
          <w:highlight w:val="none"/>
          <w:lang w:eastAsia="zh-CN"/>
          <w14:textFill>
            <w14:solidFill>
              <w14:schemeClr w14:val="tx1"/>
            </w14:solidFill>
          </w14:textFill>
        </w:rPr>
      </w:pPr>
      <w:r>
        <w:rPr>
          <w:rFonts w:hint="eastAsia" w:ascii="仿宋" w:hAnsi="仿宋" w:eastAsia="仿宋" w:cs="仿宋"/>
          <w:b/>
          <w:color w:val="000000"/>
          <w:kern w:val="0"/>
          <w:sz w:val="32"/>
          <w:szCs w:val="32"/>
          <w:highlight w:val="none"/>
        </w:rPr>
        <w:t>第一条</w:t>
      </w:r>
      <w:r>
        <w:rPr>
          <w:rFonts w:hint="eastAsia" w:ascii="仿宋" w:hAnsi="仿宋" w:eastAsia="仿宋" w:cs="仿宋"/>
          <w:color w:val="000000"/>
          <w:kern w:val="0"/>
          <w:sz w:val="32"/>
          <w:szCs w:val="32"/>
          <w:highlight w:val="none"/>
        </w:rPr>
        <w:t xml:space="preserve"> </w:t>
      </w:r>
      <w:r>
        <w:rPr>
          <w:rFonts w:hint="eastAsia" w:ascii="仿宋" w:hAnsi="仿宋" w:eastAsia="仿宋" w:cs="仿宋"/>
          <w:color w:val="000000" w:themeColor="text1"/>
          <w:sz w:val="32"/>
          <w:szCs w:val="32"/>
          <w:highlight w:val="none"/>
          <w14:textFill>
            <w14:solidFill>
              <w14:schemeClr w14:val="tx1"/>
            </w14:solidFill>
          </w14:textFill>
        </w:rPr>
        <w:t>为</w:t>
      </w:r>
      <w:r>
        <w:rPr>
          <w:rFonts w:hint="eastAsia" w:ascii="仿宋" w:hAnsi="仿宋" w:eastAsia="仿宋" w:cs="仿宋"/>
          <w:color w:val="000000" w:themeColor="text1"/>
          <w:sz w:val="32"/>
          <w:szCs w:val="32"/>
          <w:highlight w:val="none"/>
          <w:lang w:eastAsia="zh-CN"/>
          <w14:textFill>
            <w14:solidFill>
              <w14:schemeClr w14:val="tx1"/>
            </w14:solidFill>
          </w14:textFill>
        </w:rPr>
        <w:t>了</w:t>
      </w:r>
      <w:r>
        <w:rPr>
          <w:rFonts w:hint="eastAsia" w:ascii="仿宋" w:hAnsi="仿宋" w:eastAsia="仿宋" w:cs="仿宋"/>
          <w:color w:val="000000" w:themeColor="text1"/>
          <w:sz w:val="32"/>
          <w:szCs w:val="32"/>
          <w:highlight w:val="none"/>
          <w14:textFill>
            <w14:solidFill>
              <w14:schemeClr w14:val="tx1"/>
            </w14:solidFill>
          </w14:textFill>
        </w:rPr>
        <w:t>规范期货</w:t>
      </w:r>
      <w:r>
        <w:rPr>
          <w:rFonts w:hint="eastAsia" w:ascii="仿宋" w:hAnsi="仿宋" w:eastAsia="仿宋" w:cs="仿宋"/>
          <w:color w:val="000000" w:themeColor="text1"/>
          <w:sz w:val="32"/>
          <w:szCs w:val="32"/>
          <w:highlight w:val="none"/>
          <w:lang w:val="en-US" w:eastAsia="zh-CN"/>
          <w14:textFill>
            <w14:solidFill>
              <w14:schemeClr w14:val="tx1"/>
            </w14:solidFill>
          </w14:textFill>
        </w:rPr>
        <w:t>结算</w:t>
      </w:r>
      <w:r>
        <w:rPr>
          <w:rFonts w:hint="eastAsia" w:ascii="仿宋" w:hAnsi="仿宋" w:eastAsia="仿宋" w:cs="仿宋"/>
          <w:color w:val="000000" w:themeColor="text1"/>
          <w:sz w:val="32"/>
          <w:szCs w:val="32"/>
          <w:highlight w:val="none"/>
          <w14:textFill>
            <w14:solidFill>
              <w14:schemeClr w14:val="tx1"/>
            </w14:solidFill>
          </w14:textFill>
        </w:rPr>
        <w:t>行为，</w:t>
      </w:r>
      <w:r>
        <w:rPr>
          <w:rFonts w:hint="eastAsia" w:ascii="仿宋" w:hAnsi="仿宋" w:eastAsia="仿宋" w:cs="仿宋"/>
          <w:color w:val="000000" w:themeColor="text1"/>
          <w:sz w:val="32"/>
          <w:szCs w:val="32"/>
          <w:highlight w:val="none"/>
          <w:lang w:eastAsia="zh-CN"/>
          <w14:textFill>
            <w14:solidFill>
              <w14:schemeClr w14:val="tx1"/>
            </w14:solidFill>
          </w14:textFill>
        </w:rPr>
        <w:t>保障</w:t>
      </w:r>
      <w:r>
        <w:rPr>
          <w:rFonts w:hint="eastAsia" w:ascii="仿宋" w:hAnsi="仿宋" w:eastAsia="仿宋" w:cs="仿宋"/>
          <w:color w:val="000000" w:themeColor="text1"/>
          <w:sz w:val="32"/>
          <w:szCs w:val="32"/>
          <w:highlight w:val="none"/>
          <w14:textFill>
            <w14:solidFill>
              <w14:schemeClr w14:val="tx1"/>
            </w14:solidFill>
          </w14:textFill>
        </w:rPr>
        <w:t>期货交易各方的合法权益</w:t>
      </w:r>
      <w:r>
        <w:rPr>
          <w:rFonts w:hint="eastAsia" w:ascii="仿宋" w:hAnsi="仿宋" w:eastAsia="仿宋" w:cs="仿宋"/>
          <w:color w:val="000000" w:themeColor="text1"/>
          <w:sz w:val="32"/>
          <w:szCs w:val="32"/>
          <w:highlight w:val="none"/>
          <w:lang w:eastAsia="zh-CN"/>
          <w14:textFill>
            <w14:solidFill>
              <w14:schemeClr w14:val="tx1"/>
            </w14:solidFill>
          </w14:textFill>
        </w:rPr>
        <w:t>，维护市场秩序和</w:t>
      </w:r>
      <w:r>
        <w:rPr>
          <w:rFonts w:hint="eastAsia" w:ascii="仿宋" w:hAnsi="仿宋" w:eastAsia="仿宋" w:cs="仿宋"/>
          <w:color w:val="000000" w:themeColor="text1"/>
          <w:sz w:val="32"/>
          <w:szCs w:val="32"/>
          <w:highlight w:val="none"/>
          <w14:textFill>
            <w14:solidFill>
              <w14:schemeClr w14:val="tx1"/>
            </w14:solidFill>
          </w14:textFill>
        </w:rPr>
        <w:t>社会公</w:t>
      </w:r>
      <w:r>
        <w:rPr>
          <w:rFonts w:hint="eastAsia" w:ascii="仿宋" w:hAnsi="仿宋" w:eastAsia="仿宋" w:cs="仿宋"/>
          <w:color w:val="000000" w:themeColor="text1"/>
          <w:sz w:val="32"/>
          <w:szCs w:val="32"/>
          <w:highlight w:val="none"/>
          <w:lang w:val="en-US" w:eastAsia="zh-CN"/>
          <w14:textFill>
            <w14:solidFill>
              <w14:schemeClr w14:val="tx1"/>
            </w14:solidFill>
          </w14:textFill>
        </w:rPr>
        <w:t>共</w:t>
      </w:r>
      <w:r>
        <w:rPr>
          <w:rFonts w:hint="eastAsia" w:ascii="仿宋" w:hAnsi="仿宋" w:eastAsia="仿宋" w:cs="仿宋"/>
          <w:color w:val="000000" w:themeColor="text1"/>
          <w:sz w:val="32"/>
          <w:szCs w:val="32"/>
          <w:highlight w:val="none"/>
          <w14:textFill>
            <w14:solidFill>
              <w14:schemeClr w14:val="tx1"/>
            </w14:solidFill>
          </w14:textFill>
        </w:rPr>
        <w:t>利益，根据</w:t>
      </w:r>
      <w:r>
        <w:rPr>
          <w:rFonts w:hint="eastAsia" w:ascii="仿宋" w:hAnsi="仿宋" w:eastAsia="仿宋" w:cs="仿宋"/>
          <w:color w:val="000000" w:themeColor="text1"/>
          <w:sz w:val="32"/>
          <w:szCs w:val="32"/>
          <w:highlight w:val="none"/>
          <w:lang w:eastAsia="zh-CN"/>
          <w14:textFill>
            <w14:solidFill>
              <w14:schemeClr w14:val="tx1"/>
            </w14:solidFill>
          </w14:textFill>
        </w:rPr>
        <w:t>《中华人民共和国期货和衍生品法》《期货交易管理条例》、中国证券监督管理委员会（以下简称中国证监会）规定</w:t>
      </w:r>
      <w:r>
        <w:rPr>
          <w:rFonts w:hint="eastAsia" w:ascii="仿宋" w:hAnsi="仿宋" w:eastAsia="仿宋" w:cs="仿宋"/>
          <w:color w:val="000000" w:themeColor="text1"/>
          <w:sz w:val="32"/>
          <w:szCs w:val="32"/>
          <w:highlight w:val="none"/>
          <w:shd w:val="clear" w:color="auto" w:fill="auto"/>
          <w:lang w:eastAsia="zh-CN"/>
          <w14:textFill>
            <w14:solidFill>
              <w14:schemeClr w14:val="tx1"/>
            </w14:solidFill>
          </w14:textFill>
        </w:rPr>
        <w:t>及国家其他有关规定和</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郑州商品</w:t>
      </w:r>
      <w:r>
        <w:rPr>
          <w:rFonts w:hint="eastAsia" w:ascii="仿宋" w:hAnsi="仿宋" w:eastAsia="仿宋" w:cs="仿宋"/>
          <w:color w:val="000000" w:themeColor="text1"/>
          <w:sz w:val="32"/>
          <w:szCs w:val="32"/>
          <w:highlight w:val="none"/>
          <w14:textFill>
            <w14:solidFill>
              <w14:schemeClr w14:val="tx1"/>
            </w14:solidFill>
          </w14:textFill>
        </w:rPr>
        <w:t>交易所章程》，制定本规则。</w:t>
      </w:r>
    </w:p>
    <w:p>
      <w:pPr>
        <w:keepNext w:val="0"/>
        <w:keepLines w:val="0"/>
        <w:pageBreakBefore w:val="0"/>
        <w:kinsoku/>
        <w:wordWrap/>
        <w:overflowPunct/>
        <w:topLinePunct w:val="0"/>
        <w:autoSpaceDE/>
        <w:autoSpaceDN/>
        <w:bidi w:val="0"/>
        <w:adjustRightInd/>
        <w:snapToGrid w:val="0"/>
        <w:spacing w:before="0" w:line="600" w:lineRule="exact"/>
        <w:ind w:firstLine="642"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b/>
          <w:color w:val="000000"/>
          <w:kern w:val="0"/>
          <w:sz w:val="32"/>
          <w:szCs w:val="32"/>
          <w:highlight w:val="none"/>
        </w:rPr>
        <w:t>第</w:t>
      </w:r>
      <w:r>
        <w:rPr>
          <w:rFonts w:hint="eastAsia" w:ascii="仿宋" w:hAnsi="仿宋" w:eastAsia="仿宋" w:cs="仿宋"/>
          <w:b/>
          <w:color w:val="000000"/>
          <w:kern w:val="0"/>
          <w:sz w:val="32"/>
          <w:szCs w:val="32"/>
          <w:highlight w:val="none"/>
          <w:lang w:eastAsia="zh-CN"/>
        </w:rPr>
        <w:t>二</w:t>
      </w:r>
      <w:r>
        <w:rPr>
          <w:rFonts w:hint="eastAsia" w:ascii="仿宋" w:hAnsi="仿宋" w:eastAsia="仿宋" w:cs="仿宋"/>
          <w:b/>
          <w:color w:val="000000"/>
          <w:kern w:val="0"/>
          <w:sz w:val="32"/>
          <w:szCs w:val="32"/>
          <w:highlight w:val="none"/>
        </w:rPr>
        <w:t>条</w:t>
      </w:r>
      <w:r>
        <w:rPr>
          <w:rFonts w:hint="eastAsia" w:ascii="仿宋" w:hAnsi="仿宋" w:eastAsia="仿宋" w:cs="仿宋"/>
          <w:color w:val="000000"/>
          <w:kern w:val="0"/>
          <w:sz w:val="32"/>
          <w:szCs w:val="32"/>
          <w:highlight w:val="none"/>
        </w:rPr>
        <w:t xml:space="preserve"> </w:t>
      </w:r>
      <w:r>
        <w:rPr>
          <w:rFonts w:hint="eastAsia" w:ascii="仿宋" w:hAnsi="仿宋" w:eastAsia="仿宋" w:cs="仿宋"/>
          <w:color w:val="000000"/>
          <w:kern w:val="0"/>
          <w:sz w:val="32"/>
          <w:szCs w:val="32"/>
          <w:highlight w:val="none"/>
          <w:lang w:val="en-US" w:eastAsia="zh-CN"/>
        </w:rPr>
        <w:t>郑州商品</w:t>
      </w:r>
      <w:r>
        <w:rPr>
          <w:rFonts w:hint="eastAsia" w:ascii="仿宋" w:hAnsi="仿宋" w:eastAsia="仿宋" w:cs="仿宋"/>
          <w:color w:val="000000"/>
          <w:kern w:val="0"/>
          <w:sz w:val="32"/>
          <w:szCs w:val="32"/>
          <w:highlight w:val="none"/>
        </w:rPr>
        <w:t>交易所（以下简称交易所）</w:t>
      </w:r>
      <w:r>
        <w:rPr>
          <w:rFonts w:hint="eastAsia" w:ascii="仿宋" w:hAnsi="仿宋" w:eastAsia="仿宋" w:cs="仿宋"/>
          <w:b w:val="0"/>
          <w:bCs w:val="0"/>
          <w:color w:val="000000"/>
          <w:kern w:val="0"/>
          <w:sz w:val="32"/>
          <w:szCs w:val="32"/>
          <w:highlight w:val="none"/>
          <w:lang w:eastAsia="zh-CN"/>
        </w:rPr>
        <w:t>遵循社会公共利益优先原则，维</w:t>
      </w:r>
      <w:r>
        <w:rPr>
          <w:rFonts w:hint="eastAsia" w:ascii="仿宋" w:hAnsi="仿宋" w:eastAsia="仿宋" w:cs="仿宋"/>
          <w:sz w:val="32"/>
          <w:szCs w:val="32"/>
          <w:highlight w:val="none"/>
          <w:lang w:val="en-US" w:eastAsia="zh-CN"/>
        </w:rPr>
        <w:t>护市场的公平、有序、透明，组织期货结算及相关活动。</w:t>
      </w:r>
    </w:p>
    <w:p>
      <w:pPr>
        <w:keepNext w:val="0"/>
        <w:keepLines w:val="0"/>
        <w:pageBreakBefore w:val="0"/>
        <w:kinsoku/>
        <w:wordWrap/>
        <w:overflowPunct/>
        <w:topLinePunct w:val="0"/>
        <w:autoSpaceDE/>
        <w:autoSpaceDN/>
        <w:bidi w:val="0"/>
        <w:adjustRightInd/>
        <w:snapToGrid w:val="0"/>
        <w:spacing w:before="0" w:line="600" w:lineRule="exact"/>
        <w:ind w:firstLine="642" w:firstLineChars="200"/>
        <w:jc w:val="both"/>
        <w:textAlignment w:val="auto"/>
        <w:rPr>
          <w:rFonts w:hint="default" w:ascii="仿宋" w:hAnsi="仿宋" w:eastAsia="仿宋" w:cs="仿宋"/>
          <w:sz w:val="32"/>
          <w:szCs w:val="32"/>
          <w:highlight w:val="none"/>
          <w:lang w:val="en-US" w:eastAsia="zh-CN"/>
        </w:rPr>
      </w:pPr>
      <w:r>
        <w:rPr>
          <w:rFonts w:hint="default" w:ascii="仿宋" w:hAnsi="仿宋" w:eastAsia="仿宋" w:cs="仿宋"/>
          <w:b/>
          <w:bCs/>
          <w:sz w:val="32"/>
          <w:szCs w:val="32"/>
          <w:highlight w:val="none"/>
          <w:lang w:val="en-US" w:eastAsia="zh-CN"/>
        </w:rPr>
        <w:t>第</w:t>
      </w:r>
      <w:r>
        <w:rPr>
          <w:rFonts w:hint="eastAsia" w:ascii="仿宋" w:hAnsi="仿宋" w:eastAsia="仿宋" w:cs="仿宋"/>
          <w:b/>
          <w:bCs/>
          <w:sz w:val="32"/>
          <w:szCs w:val="32"/>
          <w:highlight w:val="none"/>
          <w:lang w:val="en-US" w:eastAsia="zh-CN"/>
        </w:rPr>
        <w:t>三</w:t>
      </w:r>
      <w:r>
        <w:rPr>
          <w:rFonts w:hint="default" w:ascii="仿宋" w:hAnsi="仿宋" w:eastAsia="仿宋" w:cs="仿宋"/>
          <w:b/>
          <w:bCs/>
          <w:sz w:val="32"/>
          <w:szCs w:val="32"/>
          <w:highlight w:val="none"/>
          <w:lang w:val="en-US" w:eastAsia="zh-CN"/>
        </w:rPr>
        <w:t>条</w:t>
      </w:r>
      <w:r>
        <w:rPr>
          <w:rFonts w:hint="default" w:ascii="仿宋" w:hAnsi="仿宋" w:eastAsia="仿宋" w:cs="仿宋"/>
          <w:sz w:val="32"/>
          <w:szCs w:val="32"/>
          <w:highlight w:val="none"/>
          <w:lang w:val="en-US" w:eastAsia="zh-CN"/>
        </w:rPr>
        <w:t xml:space="preserve"> 本</w:t>
      </w:r>
      <w:r>
        <w:rPr>
          <w:rFonts w:hint="eastAsia" w:ascii="仿宋" w:hAnsi="仿宋" w:eastAsia="仿宋" w:cs="仿宋"/>
          <w:sz w:val="32"/>
          <w:szCs w:val="32"/>
          <w:highlight w:val="none"/>
          <w:lang w:val="en-US" w:eastAsia="zh-CN"/>
        </w:rPr>
        <w:t>规则</w:t>
      </w:r>
      <w:r>
        <w:rPr>
          <w:rFonts w:hint="default" w:ascii="仿宋" w:hAnsi="仿宋" w:eastAsia="仿宋" w:cs="仿宋"/>
          <w:sz w:val="32"/>
          <w:szCs w:val="32"/>
          <w:highlight w:val="none"/>
          <w:lang w:val="en-US" w:eastAsia="zh-CN"/>
        </w:rPr>
        <w:t>所称期货</w:t>
      </w:r>
      <w:r>
        <w:rPr>
          <w:rFonts w:hint="eastAsia" w:ascii="仿宋" w:hAnsi="仿宋" w:eastAsia="仿宋" w:cs="仿宋"/>
          <w:sz w:val="32"/>
          <w:szCs w:val="32"/>
          <w:highlight w:val="none"/>
          <w:lang w:val="en-US" w:eastAsia="zh-CN"/>
        </w:rPr>
        <w:t>结算</w:t>
      </w:r>
      <w:r>
        <w:rPr>
          <w:rFonts w:hint="default" w:ascii="仿宋" w:hAnsi="仿宋" w:eastAsia="仿宋" w:cs="仿宋"/>
          <w:sz w:val="32"/>
          <w:szCs w:val="32"/>
          <w:highlight w:val="none"/>
          <w:lang w:val="en-US" w:eastAsia="zh-CN"/>
        </w:rPr>
        <w:t>，是指以期货合约或者标准化期权合约</w:t>
      </w:r>
      <w:r>
        <w:rPr>
          <w:rFonts w:hint="eastAsia" w:ascii="仿宋" w:hAnsi="仿宋" w:eastAsia="仿宋" w:cs="仿宋"/>
          <w:sz w:val="32"/>
          <w:szCs w:val="32"/>
          <w:highlight w:val="none"/>
          <w:lang w:val="en-US" w:eastAsia="zh-CN"/>
        </w:rPr>
        <w:t>（以下简称期权合约）</w:t>
      </w:r>
      <w:r>
        <w:rPr>
          <w:rFonts w:hint="default" w:ascii="仿宋" w:hAnsi="仿宋" w:eastAsia="仿宋" w:cs="仿宋"/>
          <w:sz w:val="32"/>
          <w:szCs w:val="32"/>
          <w:highlight w:val="none"/>
          <w:lang w:val="en-US" w:eastAsia="zh-CN"/>
        </w:rPr>
        <w:t>为标的的</w:t>
      </w:r>
      <w:r>
        <w:rPr>
          <w:rFonts w:hint="eastAsia" w:ascii="仿宋" w:hAnsi="仿宋" w:eastAsia="仿宋" w:cs="仿宋"/>
          <w:sz w:val="32"/>
          <w:szCs w:val="32"/>
          <w:highlight w:val="none"/>
          <w:lang w:val="en-US" w:eastAsia="zh-CN"/>
        </w:rPr>
        <w:t>结算</w:t>
      </w:r>
      <w:r>
        <w:rPr>
          <w:rFonts w:hint="default" w:ascii="仿宋" w:hAnsi="仿宋" w:eastAsia="仿宋" w:cs="仿宋"/>
          <w:sz w:val="32"/>
          <w:szCs w:val="32"/>
          <w:highlight w:val="none"/>
          <w:lang w:val="en-US" w:eastAsia="zh-CN"/>
        </w:rPr>
        <w:t>活动。</w:t>
      </w:r>
    </w:p>
    <w:p>
      <w:pPr>
        <w:keepNext w:val="0"/>
        <w:keepLines w:val="0"/>
        <w:pageBreakBefore w:val="0"/>
        <w:kinsoku/>
        <w:wordWrap/>
        <w:overflowPunct/>
        <w:topLinePunct w:val="0"/>
        <w:autoSpaceDE/>
        <w:autoSpaceDN/>
        <w:bidi w:val="0"/>
        <w:adjustRightInd/>
        <w:snapToGrid w:val="0"/>
        <w:spacing w:before="0" w:line="600" w:lineRule="exact"/>
        <w:ind w:firstLine="642"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第四条</w:t>
      </w:r>
      <w:r>
        <w:rPr>
          <w:rFonts w:hint="eastAsia" w:ascii="仿宋" w:hAnsi="仿宋" w:eastAsia="仿宋" w:cs="仿宋"/>
          <w:sz w:val="32"/>
          <w:szCs w:val="32"/>
          <w:highlight w:val="none"/>
          <w:lang w:val="en-US" w:eastAsia="zh-CN"/>
        </w:rPr>
        <w:t xml:space="preserve"> 本规则适用于交易所组织的期货结算及其相关活动。</w:t>
      </w:r>
    </w:p>
    <w:p>
      <w:pPr>
        <w:keepNext w:val="0"/>
        <w:keepLines w:val="0"/>
        <w:pageBreakBefore w:val="0"/>
        <w:kinsoku/>
        <w:wordWrap/>
        <w:overflowPunct/>
        <w:topLinePunct w:val="0"/>
        <w:autoSpaceDE/>
        <w:autoSpaceDN/>
        <w:bidi w:val="0"/>
        <w:adjustRightInd/>
        <w:snapToGrid w:val="0"/>
        <w:spacing w:before="0" w:line="600" w:lineRule="exact"/>
        <w:ind w:firstLine="640" w:firstLineChars="200"/>
        <w:jc w:val="both"/>
        <w:textAlignment w:val="auto"/>
        <w:rPr>
          <w:rFonts w:hint="eastAsia" w:ascii="仿宋" w:hAnsi="仿宋" w:eastAsia="仿宋" w:cs="仿宋"/>
          <w:color w:val="000000"/>
          <w:kern w:val="0"/>
          <w:sz w:val="32"/>
          <w:szCs w:val="32"/>
          <w:highlight w:val="none"/>
          <w:lang w:eastAsia="zh-CN"/>
        </w:rPr>
      </w:pPr>
      <w:r>
        <w:rPr>
          <w:rFonts w:hint="eastAsia" w:ascii="仿宋" w:hAnsi="仿宋" w:eastAsia="仿宋" w:cs="仿宋"/>
          <w:sz w:val="32"/>
          <w:szCs w:val="32"/>
          <w:highlight w:val="none"/>
          <w:lang w:val="en-US" w:eastAsia="zh-CN"/>
        </w:rPr>
        <w:t>交易所、会员、境外特殊参与</w:t>
      </w:r>
      <w:r>
        <w:rPr>
          <w:rFonts w:hint="eastAsia" w:ascii="仿宋" w:hAnsi="仿宋" w:eastAsia="仿宋" w:cs="仿宋"/>
          <w:color w:val="000000"/>
          <w:kern w:val="0"/>
          <w:sz w:val="32"/>
          <w:szCs w:val="32"/>
          <w:highlight w:val="none"/>
        </w:rPr>
        <w:t>者、境外中介机构、客户、交割库、期货保证金存管机构、期货市场其他参与者</w:t>
      </w:r>
      <w:r>
        <w:rPr>
          <w:rFonts w:hint="eastAsia" w:ascii="仿宋" w:hAnsi="仿宋" w:eastAsia="仿宋" w:cs="仿宋"/>
          <w:color w:val="000000"/>
          <w:kern w:val="0"/>
          <w:sz w:val="32"/>
          <w:szCs w:val="32"/>
          <w:highlight w:val="none"/>
          <w:lang w:eastAsia="zh-CN"/>
        </w:rPr>
        <w:t>及</w:t>
      </w:r>
      <w:r>
        <w:rPr>
          <w:rFonts w:hint="eastAsia" w:ascii="仿宋" w:hAnsi="仿宋" w:eastAsia="仿宋" w:cs="仿宋"/>
          <w:color w:val="000000"/>
          <w:kern w:val="0"/>
          <w:sz w:val="32"/>
          <w:szCs w:val="32"/>
          <w:highlight w:val="none"/>
          <w:lang w:val="en-US" w:eastAsia="zh-CN"/>
        </w:rPr>
        <w:t>其</w:t>
      </w:r>
      <w:r>
        <w:rPr>
          <w:rFonts w:hint="eastAsia" w:ascii="仿宋" w:hAnsi="仿宋" w:eastAsia="仿宋" w:cs="仿宋"/>
          <w:color w:val="000000"/>
          <w:kern w:val="0"/>
          <w:sz w:val="32"/>
          <w:szCs w:val="32"/>
          <w:highlight w:val="none"/>
          <w:lang w:eastAsia="zh-CN"/>
        </w:rPr>
        <w:t>工作人员</w:t>
      </w:r>
      <w:r>
        <w:rPr>
          <w:rFonts w:hint="eastAsia" w:ascii="仿宋" w:hAnsi="仿宋" w:eastAsia="仿宋" w:cs="仿宋"/>
          <w:color w:val="000000"/>
          <w:kern w:val="0"/>
          <w:sz w:val="32"/>
          <w:szCs w:val="32"/>
          <w:highlight w:val="none"/>
        </w:rPr>
        <w:t>应当遵守</w:t>
      </w:r>
      <w:r>
        <w:rPr>
          <w:rFonts w:hint="eastAsia" w:ascii="仿宋" w:hAnsi="仿宋" w:eastAsia="仿宋" w:cs="仿宋"/>
          <w:color w:val="000000"/>
          <w:kern w:val="0"/>
          <w:sz w:val="32"/>
          <w:szCs w:val="32"/>
          <w:highlight w:val="none"/>
          <w:lang w:eastAsia="zh-CN"/>
        </w:rPr>
        <w:t>本</w:t>
      </w:r>
      <w:r>
        <w:rPr>
          <w:rFonts w:hint="eastAsia" w:ascii="仿宋" w:hAnsi="仿宋" w:eastAsia="仿宋" w:cs="仿宋"/>
          <w:color w:val="000000"/>
          <w:kern w:val="0"/>
          <w:sz w:val="32"/>
          <w:szCs w:val="32"/>
          <w:highlight w:val="none"/>
        </w:rPr>
        <w:t>规则。</w:t>
      </w:r>
    </w:p>
    <w:p>
      <w:pPr>
        <w:keepNext w:val="0"/>
        <w:keepLines w:val="0"/>
        <w:pageBreakBefore w:val="0"/>
        <w:numPr>
          <w:ilvl w:val="0"/>
          <w:numId w:val="0"/>
        </w:numPr>
        <w:kinsoku/>
        <w:wordWrap/>
        <w:overflowPunct/>
        <w:topLinePunct w:val="0"/>
        <w:autoSpaceDE/>
        <w:autoSpaceDN/>
        <w:bidi w:val="0"/>
        <w:adjustRightInd/>
        <w:snapToGrid w:val="0"/>
        <w:spacing w:line="600" w:lineRule="exact"/>
        <w:ind w:firstLine="642" w:firstLineChars="200"/>
        <w:jc w:val="both"/>
        <w:textAlignment w:val="auto"/>
        <w:rPr>
          <w:rFonts w:hint="eastAsia" w:ascii="仿宋" w:hAnsi="仿宋" w:eastAsia="仿宋" w:cs="仿宋"/>
          <w:color w:val="000000"/>
          <w:kern w:val="0"/>
          <w:sz w:val="32"/>
          <w:szCs w:val="32"/>
          <w:highlight w:val="none"/>
          <w:lang w:eastAsia="zh-CN"/>
        </w:rPr>
      </w:pPr>
      <w:r>
        <w:rPr>
          <w:rFonts w:hint="eastAsia" w:ascii="仿宋" w:hAnsi="仿宋" w:eastAsia="仿宋" w:cs="仿宋"/>
          <w:b/>
          <w:color w:val="000000"/>
          <w:kern w:val="0"/>
          <w:sz w:val="32"/>
          <w:szCs w:val="32"/>
          <w:highlight w:val="none"/>
          <w:lang w:eastAsia="zh-CN"/>
        </w:rPr>
        <w:t>第五条</w:t>
      </w:r>
      <w:r>
        <w:rPr>
          <w:rFonts w:hint="eastAsia" w:ascii="仿宋" w:hAnsi="仿宋" w:eastAsia="仿宋" w:cs="仿宋"/>
          <w:color w:val="000000"/>
          <w:kern w:val="0"/>
          <w:sz w:val="32"/>
          <w:szCs w:val="32"/>
          <w:highlight w:val="none"/>
          <w:lang w:val="en-US" w:eastAsia="zh-CN"/>
        </w:rPr>
        <w:t xml:space="preserve"> </w:t>
      </w:r>
      <w:r>
        <w:rPr>
          <w:rFonts w:hint="eastAsia" w:ascii="仿宋" w:hAnsi="仿宋" w:eastAsia="仿宋" w:cs="仿宋"/>
          <w:color w:val="000000"/>
          <w:kern w:val="0"/>
          <w:sz w:val="32"/>
          <w:szCs w:val="32"/>
          <w:highlight w:val="none"/>
          <w:lang w:eastAsia="zh-CN"/>
        </w:rPr>
        <w:t>交易所依照有关法律、行政法规、</w:t>
      </w:r>
      <w:r>
        <w:rPr>
          <w:rFonts w:hint="eastAsia" w:ascii="仿宋" w:hAnsi="仿宋" w:eastAsia="仿宋" w:cs="仿宋"/>
          <w:color w:val="000000"/>
          <w:kern w:val="0"/>
          <w:sz w:val="32"/>
          <w:szCs w:val="32"/>
          <w:highlight w:val="none"/>
          <w:lang w:val="en-US" w:eastAsia="zh-CN"/>
        </w:rPr>
        <w:t>规章</w:t>
      </w:r>
      <w:r>
        <w:rPr>
          <w:rFonts w:hint="eastAsia" w:ascii="仿宋" w:hAnsi="仿宋" w:eastAsia="仿宋" w:cs="仿宋"/>
          <w:color w:val="000000"/>
          <w:kern w:val="0"/>
          <w:sz w:val="32"/>
          <w:szCs w:val="32"/>
          <w:highlight w:val="none"/>
          <w:lang w:eastAsia="zh-CN"/>
        </w:rPr>
        <w:t>、本规则及</w:t>
      </w:r>
      <w:r>
        <w:rPr>
          <w:rFonts w:hint="eastAsia" w:ascii="仿宋" w:hAnsi="仿宋" w:eastAsia="仿宋" w:cs="仿宋"/>
          <w:color w:val="000000"/>
          <w:kern w:val="0"/>
          <w:sz w:val="32"/>
          <w:szCs w:val="32"/>
          <w:highlight w:val="none"/>
          <w:lang w:val="en-US" w:eastAsia="zh-CN"/>
        </w:rPr>
        <w:t>有关规定</w:t>
      </w:r>
      <w:r>
        <w:rPr>
          <w:rFonts w:hint="eastAsia" w:ascii="仿宋" w:hAnsi="仿宋" w:eastAsia="仿宋" w:cs="仿宋"/>
          <w:color w:val="000000"/>
          <w:kern w:val="0"/>
          <w:sz w:val="32"/>
          <w:szCs w:val="32"/>
          <w:highlight w:val="none"/>
          <w:lang w:eastAsia="zh-CN"/>
        </w:rPr>
        <w:t>，对</w:t>
      </w:r>
      <w:r>
        <w:rPr>
          <w:rFonts w:hint="eastAsia" w:ascii="仿宋" w:hAnsi="仿宋" w:eastAsia="仿宋" w:cs="仿宋"/>
          <w:color w:val="000000"/>
          <w:kern w:val="0"/>
          <w:sz w:val="32"/>
          <w:szCs w:val="32"/>
          <w:highlight w:val="none"/>
          <w:lang w:val="en-US" w:eastAsia="zh-CN"/>
        </w:rPr>
        <w:t>涉及本</w:t>
      </w:r>
      <w:r>
        <w:rPr>
          <w:rFonts w:hint="eastAsia" w:ascii="仿宋" w:hAnsi="仿宋" w:eastAsia="仿宋" w:cs="仿宋"/>
          <w:color w:val="000000"/>
          <w:kern w:val="0"/>
          <w:sz w:val="32"/>
          <w:szCs w:val="32"/>
          <w:highlight w:val="none"/>
          <w:lang w:eastAsia="zh-CN"/>
        </w:rPr>
        <w:t>所期货结算</w:t>
      </w:r>
      <w:r>
        <w:rPr>
          <w:rFonts w:hint="eastAsia" w:ascii="仿宋" w:hAnsi="仿宋" w:eastAsia="仿宋" w:cs="仿宋"/>
          <w:b w:val="0"/>
          <w:bCs w:val="0"/>
          <w:color w:val="000000"/>
          <w:kern w:val="0"/>
          <w:sz w:val="32"/>
          <w:szCs w:val="32"/>
          <w:highlight w:val="none"/>
        </w:rPr>
        <w:t>及</w:t>
      </w:r>
      <w:r>
        <w:rPr>
          <w:rFonts w:hint="eastAsia" w:ascii="仿宋" w:hAnsi="仿宋" w:eastAsia="仿宋" w:cs="仿宋"/>
          <w:b w:val="0"/>
          <w:bCs w:val="0"/>
          <w:color w:val="000000"/>
          <w:kern w:val="0"/>
          <w:sz w:val="32"/>
          <w:szCs w:val="32"/>
          <w:highlight w:val="none"/>
          <w:lang w:val="en-US" w:eastAsia="zh-CN"/>
        </w:rPr>
        <w:t>其</w:t>
      </w:r>
      <w:r>
        <w:rPr>
          <w:rFonts w:hint="eastAsia" w:ascii="仿宋" w:hAnsi="仿宋" w:eastAsia="仿宋" w:cs="仿宋"/>
          <w:b w:val="0"/>
          <w:bCs w:val="0"/>
          <w:color w:val="000000"/>
          <w:kern w:val="0"/>
          <w:sz w:val="32"/>
          <w:szCs w:val="32"/>
          <w:highlight w:val="none"/>
        </w:rPr>
        <w:t>相关活动</w:t>
      </w:r>
      <w:r>
        <w:rPr>
          <w:rFonts w:hint="eastAsia" w:ascii="仿宋" w:hAnsi="仿宋" w:eastAsia="仿宋" w:cs="仿宋"/>
          <w:color w:val="000000"/>
          <w:kern w:val="0"/>
          <w:sz w:val="32"/>
          <w:szCs w:val="32"/>
          <w:highlight w:val="none"/>
          <w:lang w:eastAsia="zh-CN"/>
        </w:rPr>
        <w:t>实施自律管理。</w:t>
      </w:r>
    </w:p>
    <w:p>
      <w:pPr>
        <w:keepNext w:val="0"/>
        <w:keepLines w:val="0"/>
        <w:pageBreakBefore w:val="0"/>
        <w:widowControl/>
        <w:kinsoku/>
        <w:wordWrap/>
        <w:overflowPunct/>
        <w:topLinePunct w:val="0"/>
        <w:autoSpaceDE/>
        <w:autoSpaceDN/>
        <w:bidi w:val="0"/>
        <w:adjustRightInd/>
        <w:snapToGrid w:val="0"/>
        <w:spacing w:before="0" w:after="0" w:line="600" w:lineRule="exact"/>
        <w:jc w:val="center"/>
        <w:textAlignment w:val="auto"/>
        <w:rPr>
          <w:rFonts w:hint="default" w:ascii="Times New Roman" w:hAnsi="Times New Roman" w:eastAsia="黑体" w:cs="Times New Roman"/>
          <w:color w:val="000000"/>
          <w:kern w:val="0"/>
          <w:sz w:val="32"/>
          <w:szCs w:val="32"/>
          <w:highlight w:val="none"/>
          <w:lang w:eastAsia="zh-CN"/>
        </w:rPr>
      </w:pPr>
      <w:r>
        <w:rPr>
          <w:rFonts w:hint="default" w:ascii="Times New Roman" w:hAnsi="Times New Roman" w:eastAsia="黑体" w:cs="Times New Roman"/>
          <w:color w:val="000000"/>
          <w:kern w:val="0"/>
          <w:sz w:val="32"/>
          <w:szCs w:val="32"/>
          <w:highlight w:val="none"/>
        </w:rPr>
        <w:t xml:space="preserve">第二章 </w:t>
      </w:r>
      <w:r>
        <w:rPr>
          <w:rFonts w:hint="default" w:ascii="Times New Roman" w:hAnsi="Times New Roman" w:eastAsia="黑体" w:cs="Times New Roman"/>
          <w:color w:val="000000"/>
          <w:kern w:val="0"/>
          <w:sz w:val="32"/>
          <w:szCs w:val="32"/>
          <w:highlight w:val="none"/>
          <w:lang w:eastAsia="zh-CN"/>
        </w:rPr>
        <w:t>一般规定</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600" w:lineRule="exact"/>
        <w:ind w:firstLine="642" w:firstLineChars="200"/>
        <w:jc w:val="both"/>
        <w:textAlignment w:val="auto"/>
        <w:rPr>
          <w:rFonts w:hint="eastAsia" w:ascii="仿宋" w:hAnsi="仿宋" w:eastAsia="仿宋" w:cs="仿宋"/>
          <w:sz w:val="32"/>
          <w:szCs w:val="32"/>
          <w:highlight w:val="none"/>
          <w:lang w:eastAsia="zh-CN"/>
        </w:rPr>
      </w:pPr>
      <w:r>
        <w:rPr>
          <w:rFonts w:hint="eastAsia" w:ascii="仿宋" w:hAnsi="仿宋" w:eastAsia="仿宋" w:cs="仿宋"/>
          <w:b/>
          <w:bCs/>
          <w:sz w:val="32"/>
          <w:szCs w:val="32"/>
          <w:highlight w:val="none"/>
          <w:lang w:eastAsia="zh-CN"/>
        </w:rPr>
        <w:t>第六条</w:t>
      </w:r>
      <w:r>
        <w:rPr>
          <w:rFonts w:hint="eastAsia" w:ascii="仿宋" w:hAnsi="仿宋" w:eastAsia="仿宋" w:cs="仿宋"/>
          <w:b/>
          <w:bCs/>
          <w:sz w:val="32"/>
          <w:szCs w:val="32"/>
          <w:highlight w:val="none"/>
          <w:lang w:val="en-US" w:eastAsia="zh-CN"/>
        </w:rPr>
        <w:t xml:space="preserve"> </w:t>
      </w:r>
      <w:r>
        <w:rPr>
          <w:rFonts w:hint="eastAsia" w:ascii="仿宋" w:hAnsi="仿宋" w:eastAsia="仿宋" w:cs="仿宋"/>
          <w:sz w:val="32"/>
          <w:szCs w:val="32"/>
          <w:highlight w:val="none"/>
          <w:lang w:val="en-US" w:eastAsia="zh-CN"/>
        </w:rPr>
        <w:t>交易所内设</w:t>
      </w:r>
      <w:r>
        <w:rPr>
          <w:rFonts w:hint="eastAsia" w:ascii="仿宋" w:hAnsi="仿宋" w:eastAsia="仿宋" w:cs="仿宋"/>
          <w:sz w:val="32"/>
          <w:szCs w:val="32"/>
          <w:highlight w:val="none"/>
        </w:rPr>
        <w:t>结算部门</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依法履行期货结算机构职责。</w:t>
      </w:r>
      <w:r>
        <w:rPr>
          <w:rFonts w:hint="eastAsia" w:ascii="仿宋" w:hAnsi="仿宋" w:eastAsia="仿宋" w:cs="仿宋"/>
          <w:sz w:val="32"/>
          <w:szCs w:val="32"/>
          <w:highlight w:val="none"/>
        </w:rPr>
        <w:t>交易所结算实行保证金制度、当日无负债结算制度和风险准备金制度等</w:t>
      </w:r>
      <w:r>
        <w:rPr>
          <w:rFonts w:hint="eastAsia" w:ascii="仿宋" w:hAnsi="仿宋" w:eastAsia="仿宋" w:cs="仿宋"/>
          <w:sz w:val="32"/>
          <w:szCs w:val="32"/>
          <w:highlight w:val="none"/>
          <w:lang w:val="en-US" w:eastAsia="zh-CN"/>
        </w:rPr>
        <w:t>。</w:t>
      </w:r>
    </w:p>
    <w:p>
      <w:pPr>
        <w:keepNext w:val="0"/>
        <w:keepLines w:val="0"/>
        <w:pageBreakBefore w:val="0"/>
        <w:numPr>
          <w:ilvl w:val="0"/>
          <w:numId w:val="0"/>
        </w:numPr>
        <w:kinsoku/>
        <w:wordWrap/>
        <w:overflowPunct/>
        <w:topLinePunct w:val="0"/>
        <w:autoSpaceDE/>
        <w:autoSpaceDN/>
        <w:bidi w:val="0"/>
        <w:adjustRightInd/>
        <w:spacing w:line="600" w:lineRule="exact"/>
        <w:ind w:firstLine="642" w:firstLineChars="200"/>
        <w:jc w:val="both"/>
        <w:textAlignment w:val="auto"/>
        <w:rPr>
          <w:rFonts w:hint="eastAsia" w:ascii="仿宋" w:hAnsi="仿宋" w:eastAsia="仿宋" w:cs="仿宋"/>
          <w:sz w:val="32"/>
          <w:szCs w:val="32"/>
          <w:highlight w:val="none"/>
          <w:lang w:eastAsia="zh-CN"/>
        </w:rPr>
      </w:pPr>
      <w:r>
        <w:rPr>
          <w:rFonts w:hint="eastAsia" w:ascii="仿宋" w:hAnsi="仿宋" w:eastAsia="仿宋" w:cs="仿宋"/>
          <w:b/>
          <w:bCs/>
          <w:sz w:val="32"/>
          <w:szCs w:val="32"/>
          <w:highlight w:val="none"/>
          <w:lang w:val="en-US" w:eastAsia="zh-CN"/>
        </w:rPr>
        <w:t xml:space="preserve">第七条 </w:t>
      </w:r>
      <w:r>
        <w:rPr>
          <w:rFonts w:hint="eastAsia" w:ascii="仿宋" w:hAnsi="仿宋" w:eastAsia="仿宋" w:cs="仿宋"/>
          <w:sz w:val="32"/>
          <w:szCs w:val="32"/>
          <w:highlight w:val="none"/>
        </w:rPr>
        <w:t>交易所作为中央对手方，</w:t>
      </w:r>
      <w:r>
        <w:rPr>
          <w:rFonts w:hint="eastAsia" w:ascii="仿宋" w:hAnsi="仿宋" w:eastAsia="仿宋" w:cs="仿宋"/>
          <w:sz w:val="32"/>
          <w:szCs w:val="32"/>
          <w:highlight w:val="none"/>
          <w:lang w:eastAsia="zh-CN"/>
        </w:rPr>
        <w:t>是结算参与人共同对手方，进行净额结算，为期货交易提供集中履约保障。</w:t>
      </w:r>
    </w:p>
    <w:p>
      <w:pPr>
        <w:keepNext w:val="0"/>
        <w:keepLines w:val="0"/>
        <w:pageBreakBefore w:val="0"/>
        <w:numPr>
          <w:ilvl w:val="0"/>
          <w:numId w:val="0"/>
        </w:numPr>
        <w:kinsoku/>
        <w:wordWrap/>
        <w:overflowPunct/>
        <w:topLinePunct w:val="0"/>
        <w:autoSpaceDE/>
        <w:autoSpaceDN/>
        <w:bidi w:val="0"/>
        <w:adjustRightInd/>
        <w:spacing w:line="600" w:lineRule="exact"/>
        <w:ind w:firstLine="642" w:firstLineChars="200"/>
        <w:jc w:val="both"/>
        <w:textAlignment w:val="auto"/>
        <w:rPr>
          <w:rFonts w:hint="eastAsia" w:ascii="仿宋" w:hAnsi="仿宋" w:eastAsia="仿宋" w:cs="仿宋"/>
          <w:color w:val="000000"/>
          <w:kern w:val="0"/>
          <w:sz w:val="32"/>
          <w:szCs w:val="32"/>
          <w:highlight w:val="none"/>
          <w:lang w:eastAsia="zh-CN"/>
        </w:rPr>
      </w:pPr>
      <w:r>
        <w:rPr>
          <w:rFonts w:hint="eastAsia" w:ascii="仿宋" w:hAnsi="仿宋" w:eastAsia="仿宋" w:cs="仿宋"/>
          <w:b/>
          <w:bCs/>
          <w:sz w:val="32"/>
          <w:szCs w:val="32"/>
          <w:highlight w:val="none"/>
          <w:lang w:val="en-US" w:eastAsia="zh-CN"/>
        </w:rPr>
        <w:t>第八条</w:t>
      </w:r>
      <w:r>
        <w:rPr>
          <w:rFonts w:hint="eastAsia" w:ascii="仿宋" w:hAnsi="仿宋" w:eastAsia="仿宋" w:cs="仿宋"/>
          <w:sz w:val="32"/>
          <w:szCs w:val="32"/>
          <w:highlight w:val="none"/>
          <w:lang w:val="en-US" w:eastAsia="zh-CN"/>
        </w:rPr>
        <w:t xml:space="preserve"> </w:t>
      </w:r>
      <w:r>
        <w:rPr>
          <w:rFonts w:hint="eastAsia" w:ascii="仿宋" w:hAnsi="仿宋" w:eastAsia="仿宋" w:cs="仿宋"/>
          <w:color w:val="000000"/>
          <w:kern w:val="0"/>
          <w:sz w:val="32"/>
          <w:szCs w:val="32"/>
          <w:highlight w:val="none"/>
          <w:lang w:eastAsia="zh-CN"/>
        </w:rPr>
        <w:t>交易所实行全员结算制度。会员是交易所的结算参与人，交易所对会员进行结算。</w:t>
      </w:r>
    </w:p>
    <w:p>
      <w:pPr>
        <w:keepNext w:val="0"/>
        <w:keepLines w:val="0"/>
        <w:pageBreakBefore w:val="0"/>
        <w:numPr>
          <w:ilvl w:val="0"/>
          <w:numId w:val="0"/>
        </w:numPr>
        <w:kinsoku/>
        <w:wordWrap/>
        <w:overflowPunct/>
        <w:topLinePunct w:val="0"/>
        <w:autoSpaceDE/>
        <w:autoSpaceDN/>
        <w:bidi w:val="0"/>
        <w:adjustRightInd/>
        <w:spacing w:line="600" w:lineRule="exact"/>
        <w:ind w:firstLine="640" w:firstLineChars="200"/>
        <w:jc w:val="both"/>
        <w:textAlignment w:val="auto"/>
        <w:rPr>
          <w:rFonts w:hint="eastAsia" w:ascii="仿宋" w:hAnsi="仿宋" w:eastAsia="仿宋" w:cs="仿宋"/>
          <w:color w:val="000000"/>
          <w:kern w:val="0"/>
          <w:sz w:val="32"/>
          <w:szCs w:val="32"/>
          <w:highlight w:val="none"/>
          <w:lang w:eastAsia="zh-CN"/>
        </w:rPr>
      </w:pPr>
      <w:r>
        <w:rPr>
          <w:rFonts w:hint="eastAsia" w:ascii="仿宋" w:hAnsi="仿宋" w:eastAsia="仿宋" w:cs="仿宋"/>
          <w:color w:val="000000"/>
          <w:kern w:val="0"/>
          <w:sz w:val="32"/>
          <w:szCs w:val="32"/>
          <w:highlight w:val="none"/>
          <w:lang w:eastAsia="zh-CN"/>
        </w:rPr>
        <w:t>期货公司会员对其受托的境外特殊参与者、境外中介机构、客户进行结算。</w:t>
      </w:r>
    </w:p>
    <w:p>
      <w:pPr>
        <w:keepNext w:val="0"/>
        <w:keepLines w:val="0"/>
        <w:pageBreakBefore w:val="0"/>
        <w:numPr>
          <w:ilvl w:val="0"/>
          <w:numId w:val="0"/>
        </w:numPr>
        <w:kinsoku/>
        <w:wordWrap/>
        <w:overflowPunct/>
        <w:topLinePunct w:val="0"/>
        <w:autoSpaceDE/>
        <w:autoSpaceDN/>
        <w:bidi w:val="0"/>
        <w:adjustRightInd/>
        <w:spacing w:line="600" w:lineRule="exact"/>
        <w:ind w:firstLine="640" w:firstLineChars="200"/>
        <w:jc w:val="both"/>
        <w:textAlignment w:val="auto"/>
        <w:rPr>
          <w:rFonts w:hint="eastAsia" w:ascii="仿宋" w:hAnsi="仿宋" w:eastAsia="仿宋" w:cs="仿宋"/>
          <w:b/>
          <w:bCs/>
          <w:color w:val="000000"/>
          <w:kern w:val="0"/>
          <w:sz w:val="32"/>
          <w:szCs w:val="32"/>
          <w:highlight w:val="none"/>
          <w:lang w:eastAsia="zh-CN"/>
        </w:rPr>
      </w:pPr>
      <w:r>
        <w:rPr>
          <w:rFonts w:hint="eastAsia" w:ascii="仿宋" w:hAnsi="仿宋" w:eastAsia="仿宋" w:cs="仿宋"/>
          <w:color w:val="000000"/>
          <w:kern w:val="0"/>
          <w:sz w:val="32"/>
          <w:szCs w:val="32"/>
          <w:highlight w:val="none"/>
          <w:lang w:eastAsia="zh-CN"/>
        </w:rPr>
        <w:t>境外特殊经纪参与者和境外中介机构对其客户进行结算。</w:t>
      </w:r>
    </w:p>
    <w:p>
      <w:pPr>
        <w:keepNext w:val="0"/>
        <w:keepLines w:val="0"/>
        <w:pageBreakBefore w:val="0"/>
        <w:widowControl/>
        <w:kinsoku/>
        <w:wordWrap/>
        <w:overflowPunct/>
        <w:topLinePunct w:val="0"/>
        <w:autoSpaceDE/>
        <w:autoSpaceDN/>
        <w:bidi w:val="0"/>
        <w:adjustRightInd/>
        <w:snapToGrid w:val="0"/>
        <w:spacing w:before="0" w:after="0" w:line="600" w:lineRule="exact"/>
        <w:jc w:val="center"/>
        <w:textAlignment w:val="auto"/>
        <w:rPr>
          <w:rFonts w:hint="default" w:ascii="Times New Roman" w:hAnsi="Times New Roman" w:eastAsia="黑体" w:cs="Times New Roman"/>
          <w:color w:val="000000"/>
          <w:kern w:val="0"/>
          <w:sz w:val="32"/>
          <w:szCs w:val="32"/>
          <w:highlight w:val="none"/>
          <w:lang w:val="en-US" w:eastAsia="zh-CN"/>
        </w:rPr>
      </w:pPr>
      <w:r>
        <w:rPr>
          <w:rFonts w:hint="default" w:ascii="Times New Roman" w:hAnsi="Times New Roman" w:eastAsia="黑体" w:cs="Times New Roman"/>
          <w:color w:val="000000"/>
          <w:kern w:val="0"/>
          <w:sz w:val="32"/>
          <w:szCs w:val="32"/>
          <w:highlight w:val="none"/>
          <w:lang w:val="en-US" w:eastAsia="zh-CN"/>
        </w:rPr>
        <w:t>第三章 日常结算</w:t>
      </w:r>
    </w:p>
    <w:p>
      <w:pPr>
        <w:keepNext w:val="0"/>
        <w:keepLines w:val="0"/>
        <w:pageBreakBefore w:val="0"/>
        <w:widowControl w:val="0"/>
        <w:kinsoku/>
        <w:wordWrap/>
        <w:overflowPunct/>
        <w:topLinePunct w:val="0"/>
        <w:autoSpaceDE/>
        <w:autoSpaceDN/>
        <w:bidi w:val="0"/>
        <w:adjustRightInd/>
        <w:snapToGrid/>
        <w:spacing w:before="157" w:beforeLines="50" w:line="600" w:lineRule="exact"/>
        <w:ind w:firstLine="642" w:firstLineChars="200"/>
        <w:jc w:val="both"/>
        <w:textAlignment w:val="auto"/>
        <w:rPr>
          <w:rFonts w:hint="eastAsia" w:ascii="仿宋" w:hAnsi="仿宋" w:eastAsia="仿宋" w:cs="仿宋"/>
          <w:sz w:val="32"/>
          <w:szCs w:val="32"/>
          <w:highlight w:val="none"/>
        </w:rPr>
      </w:pPr>
      <w:r>
        <w:rPr>
          <w:rFonts w:hint="eastAsia" w:ascii="仿宋" w:hAnsi="仿宋" w:eastAsia="仿宋" w:cs="仿宋"/>
          <w:b/>
          <w:bCs/>
          <w:sz w:val="32"/>
          <w:szCs w:val="32"/>
          <w:highlight w:val="none"/>
        </w:rPr>
        <w:t>第</w:t>
      </w:r>
      <w:r>
        <w:rPr>
          <w:rFonts w:hint="eastAsia" w:ascii="仿宋" w:hAnsi="仿宋" w:eastAsia="仿宋" w:cs="仿宋"/>
          <w:b/>
          <w:bCs/>
          <w:sz w:val="32"/>
          <w:szCs w:val="32"/>
          <w:highlight w:val="none"/>
          <w:lang w:eastAsia="zh-CN"/>
        </w:rPr>
        <w:t>九</w:t>
      </w:r>
      <w:r>
        <w:rPr>
          <w:rFonts w:hint="eastAsia" w:ascii="仿宋" w:hAnsi="仿宋" w:eastAsia="仿宋" w:cs="仿宋"/>
          <w:b/>
          <w:bCs/>
          <w:sz w:val="32"/>
          <w:szCs w:val="32"/>
          <w:highlight w:val="none"/>
        </w:rPr>
        <w:t>条</w:t>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eastAsia="zh-CN"/>
        </w:rPr>
        <w:t>交易所实行保证金制度。</w:t>
      </w:r>
      <w:r>
        <w:rPr>
          <w:rFonts w:hint="eastAsia" w:ascii="仿宋" w:hAnsi="仿宋" w:eastAsia="仿宋" w:cs="仿宋"/>
          <w:sz w:val="32"/>
          <w:szCs w:val="32"/>
          <w:highlight w:val="none"/>
        </w:rPr>
        <w:t>保证金是交易所向会员收取的用于结算和履约保障的财产。交易所可以根据市场</w:t>
      </w:r>
      <w:r>
        <w:rPr>
          <w:rFonts w:hint="eastAsia" w:ascii="仿宋" w:hAnsi="仿宋" w:eastAsia="仿宋" w:cs="仿宋"/>
          <w:sz w:val="32"/>
          <w:szCs w:val="32"/>
          <w:highlight w:val="none"/>
          <w:lang w:val="en-US" w:eastAsia="zh-CN"/>
        </w:rPr>
        <w:t>情况</w:t>
      </w:r>
      <w:r>
        <w:rPr>
          <w:rFonts w:hint="eastAsia" w:ascii="仿宋" w:hAnsi="仿宋" w:eastAsia="仿宋" w:cs="仿宋"/>
          <w:sz w:val="32"/>
          <w:szCs w:val="32"/>
          <w:highlight w:val="none"/>
        </w:rPr>
        <w:t>调整保证金水平。</w:t>
      </w:r>
    </w:p>
    <w:p>
      <w:pPr>
        <w:keepNext w:val="0"/>
        <w:keepLines w:val="0"/>
        <w:pageBreakBefore w:val="0"/>
        <w:widowControl w:val="0"/>
        <w:kinsoku/>
        <w:wordWrap/>
        <w:overflowPunct/>
        <w:topLinePunct w:val="0"/>
        <w:autoSpaceDE/>
        <w:autoSpaceDN/>
        <w:bidi w:val="0"/>
        <w:adjustRightInd/>
        <w:spacing w:line="600" w:lineRule="exact"/>
        <w:ind w:firstLine="640" w:firstLineChars="200"/>
        <w:jc w:val="both"/>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保证金的形式包括现金，国债、标准仓单等流动性强的有价证券，以及中国证监会规定的其他财产。</w:t>
      </w:r>
      <w:r>
        <w:rPr>
          <w:rFonts w:hint="eastAsia" w:ascii="仿宋" w:hAnsi="仿宋" w:eastAsia="仿宋" w:cs="仿宋"/>
          <w:sz w:val="32"/>
          <w:szCs w:val="32"/>
          <w:highlight w:val="none"/>
        </w:rPr>
        <w:t>按照规定以</w:t>
      </w:r>
      <w:r>
        <w:rPr>
          <w:rFonts w:hint="eastAsia" w:ascii="仿宋" w:hAnsi="仿宋" w:eastAsia="仿宋" w:cs="仿宋"/>
          <w:sz w:val="32"/>
          <w:szCs w:val="32"/>
          <w:highlight w:val="none"/>
          <w:lang w:val="en-US" w:eastAsia="zh-CN"/>
        </w:rPr>
        <w:t>外汇资金或者有价证券</w:t>
      </w:r>
      <w:r>
        <w:rPr>
          <w:rFonts w:hint="eastAsia" w:ascii="仿宋" w:hAnsi="仿宋" w:eastAsia="仿宋" w:cs="仿宋"/>
          <w:sz w:val="32"/>
          <w:szCs w:val="32"/>
          <w:highlight w:val="none"/>
        </w:rPr>
        <w:t>作为保证金的，视为授权交易所对相应资产进行划转或者处理。</w:t>
      </w:r>
    </w:p>
    <w:p>
      <w:pPr>
        <w:keepNext w:val="0"/>
        <w:keepLines w:val="0"/>
        <w:pageBreakBefore w:val="0"/>
        <w:widowControl w:val="0"/>
        <w:kinsoku/>
        <w:wordWrap/>
        <w:overflowPunct/>
        <w:topLinePunct w:val="0"/>
        <w:autoSpaceDE/>
        <w:autoSpaceDN/>
        <w:bidi w:val="0"/>
        <w:adjustRightInd/>
        <w:spacing w:line="600" w:lineRule="exact"/>
        <w:ind w:firstLine="640" w:firstLineChars="200"/>
        <w:jc w:val="both"/>
        <w:textAlignment w:val="auto"/>
        <w:rPr>
          <w:rFonts w:hint="eastAsia" w:ascii="仿宋" w:hAnsi="仿宋" w:eastAsia="宋体" w:cs="仿宋"/>
          <w:sz w:val="32"/>
          <w:szCs w:val="32"/>
          <w:highlight w:val="none"/>
          <w:lang w:eastAsia="zh-CN"/>
        </w:rPr>
      </w:pPr>
      <w:r>
        <w:rPr>
          <w:rFonts w:hint="eastAsia" w:ascii="仿宋" w:hAnsi="仿宋" w:eastAsia="仿宋" w:cs="仿宋"/>
          <w:sz w:val="32"/>
          <w:szCs w:val="32"/>
          <w:highlight w:val="none"/>
        </w:rPr>
        <w:t>交易者进行期权合约交易的，卖方应当缴纳保证金，买方应当支付权利金。权利金收取标准和方式由交易所</w:t>
      </w:r>
      <w:r>
        <w:rPr>
          <w:rFonts w:hint="eastAsia" w:ascii="仿宋" w:hAnsi="仿宋" w:eastAsia="仿宋" w:cs="仿宋"/>
          <w:sz w:val="32"/>
          <w:szCs w:val="32"/>
          <w:highlight w:val="none"/>
          <w:lang w:val="en-US" w:eastAsia="zh-CN"/>
        </w:rPr>
        <w:t>另行</w:t>
      </w:r>
      <w:r>
        <w:rPr>
          <w:rFonts w:hint="eastAsia" w:ascii="仿宋" w:hAnsi="仿宋" w:eastAsia="仿宋" w:cs="仿宋"/>
          <w:sz w:val="32"/>
          <w:szCs w:val="32"/>
          <w:highlight w:val="none"/>
        </w:rPr>
        <w:t>规定。</w:t>
      </w:r>
    </w:p>
    <w:p>
      <w:pPr>
        <w:keepNext w:val="0"/>
        <w:keepLines w:val="0"/>
        <w:pageBreakBefore w:val="0"/>
        <w:widowControl w:val="0"/>
        <w:kinsoku/>
        <w:wordWrap/>
        <w:overflowPunct/>
        <w:topLinePunct w:val="0"/>
        <w:autoSpaceDE/>
        <w:autoSpaceDN/>
        <w:bidi w:val="0"/>
        <w:adjustRightInd/>
        <w:spacing w:line="600" w:lineRule="exact"/>
        <w:ind w:firstLine="642" w:firstLineChars="200"/>
        <w:jc w:val="both"/>
        <w:textAlignment w:val="auto"/>
        <w:rPr>
          <w:rFonts w:hint="eastAsia" w:ascii="仿宋" w:hAnsi="仿宋" w:eastAsia="仿宋" w:cs="仿宋"/>
          <w:sz w:val="32"/>
          <w:szCs w:val="32"/>
          <w:highlight w:val="none"/>
        </w:rPr>
      </w:pPr>
      <w:r>
        <w:rPr>
          <w:rFonts w:hint="eastAsia" w:ascii="仿宋" w:hAnsi="仿宋" w:eastAsia="仿宋" w:cs="仿宋"/>
          <w:b/>
          <w:bCs/>
          <w:sz w:val="32"/>
          <w:szCs w:val="32"/>
          <w:highlight w:val="none"/>
        </w:rPr>
        <w:t>第</w:t>
      </w:r>
      <w:r>
        <w:rPr>
          <w:rFonts w:hint="eastAsia" w:ascii="仿宋" w:hAnsi="仿宋" w:eastAsia="仿宋" w:cs="仿宋"/>
          <w:b/>
          <w:bCs/>
          <w:sz w:val="32"/>
          <w:szCs w:val="32"/>
          <w:highlight w:val="none"/>
          <w:lang w:val="en-US" w:eastAsia="zh-CN"/>
        </w:rPr>
        <w:t>十</w:t>
      </w:r>
      <w:r>
        <w:rPr>
          <w:rFonts w:hint="eastAsia" w:ascii="仿宋" w:hAnsi="仿宋" w:eastAsia="仿宋" w:cs="仿宋"/>
          <w:b/>
          <w:bCs/>
          <w:sz w:val="32"/>
          <w:szCs w:val="32"/>
          <w:highlight w:val="none"/>
        </w:rPr>
        <w:t>条</w:t>
      </w:r>
      <w:r>
        <w:rPr>
          <w:rFonts w:hint="eastAsia" w:ascii="仿宋" w:hAnsi="仿宋" w:eastAsia="仿宋" w:cs="仿宋"/>
          <w:sz w:val="32"/>
          <w:szCs w:val="32"/>
          <w:highlight w:val="none"/>
        </w:rPr>
        <w:t xml:space="preserve"> 保证金分为结算准备金和交易保证金。结算准备金是指未被合约占用的保证金；交易保证金是指已被合约占用的保证金。</w:t>
      </w:r>
      <w:r>
        <w:rPr>
          <w:rFonts w:hint="default" w:ascii="仿宋" w:hAnsi="仿宋" w:eastAsia="仿宋" w:cs="仿宋"/>
          <w:sz w:val="32"/>
          <w:szCs w:val="32"/>
          <w:highlight w:val="none"/>
        </w:rPr>
        <w:t>结算准备金的最低余额由交易所决定。</w:t>
      </w:r>
    </w:p>
    <w:p>
      <w:pPr>
        <w:keepNext w:val="0"/>
        <w:keepLines w:val="0"/>
        <w:pageBreakBefore w:val="0"/>
        <w:widowControl w:val="0"/>
        <w:kinsoku/>
        <w:wordWrap/>
        <w:overflowPunct/>
        <w:topLinePunct w:val="0"/>
        <w:autoSpaceDE/>
        <w:autoSpaceDN/>
        <w:bidi w:val="0"/>
        <w:adjustRightInd/>
        <w:spacing w:line="600" w:lineRule="exact"/>
        <w:ind w:firstLine="642" w:firstLineChars="200"/>
        <w:jc w:val="both"/>
        <w:textAlignment w:val="auto"/>
        <w:rPr>
          <w:rFonts w:hint="eastAsia" w:ascii="仿宋" w:hAnsi="仿宋" w:eastAsia="仿宋" w:cs="仿宋"/>
          <w:sz w:val="32"/>
          <w:szCs w:val="32"/>
          <w:highlight w:val="none"/>
        </w:rPr>
      </w:pPr>
      <w:r>
        <w:rPr>
          <w:rFonts w:hint="eastAsia" w:ascii="仿宋" w:hAnsi="仿宋" w:eastAsia="仿宋" w:cs="仿宋"/>
          <w:b/>
          <w:bCs/>
          <w:sz w:val="32"/>
          <w:szCs w:val="32"/>
          <w:highlight w:val="none"/>
        </w:rPr>
        <w:t>第十</w:t>
      </w:r>
      <w:r>
        <w:rPr>
          <w:rFonts w:hint="eastAsia" w:ascii="仿宋" w:hAnsi="仿宋" w:eastAsia="仿宋" w:cs="仿宋"/>
          <w:b/>
          <w:bCs/>
          <w:sz w:val="32"/>
          <w:szCs w:val="32"/>
          <w:highlight w:val="none"/>
          <w:lang w:eastAsia="zh-CN"/>
        </w:rPr>
        <w:t>一</w:t>
      </w:r>
      <w:r>
        <w:rPr>
          <w:rFonts w:hint="eastAsia" w:ascii="仿宋" w:hAnsi="仿宋" w:eastAsia="仿宋" w:cs="仿宋"/>
          <w:b/>
          <w:bCs/>
          <w:sz w:val="32"/>
          <w:szCs w:val="32"/>
          <w:highlight w:val="none"/>
        </w:rPr>
        <w:t>条</w:t>
      </w:r>
      <w:r>
        <w:rPr>
          <w:rFonts w:hint="eastAsia" w:ascii="仿宋" w:hAnsi="仿宋" w:eastAsia="仿宋" w:cs="仿宋"/>
          <w:sz w:val="32"/>
          <w:szCs w:val="32"/>
          <w:highlight w:val="none"/>
        </w:rPr>
        <w:t xml:space="preserve"> 期货公司会员向境外特殊参与者、境外中介机构、客户收取的保证金不得低于中国证监会、交易所规定的保证金标准。</w:t>
      </w:r>
    </w:p>
    <w:p>
      <w:pPr>
        <w:keepNext w:val="0"/>
        <w:keepLines w:val="0"/>
        <w:pageBreakBefore w:val="0"/>
        <w:widowControl w:val="0"/>
        <w:kinsoku/>
        <w:wordWrap/>
        <w:overflowPunct/>
        <w:topLinePunct w:val="0"/>
        <w:autoSpaceDE/>
        <w:autoSpaceDN/>
        <w:bidi w:val="0"/>
        <w:adjustRightInd/>
        <w:spacing w:line="600" w:lineRule="exact"/>
        <w:ind w:firstLine="640" w:firstLineChars="200"/>
        <w:jc w:val="both"/>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期货公司会员有权根据市场运行情况和境外特殊参与者、境外中介机构、客户的资信状况调整对其收取保证金的标准。</w:t>
      </w:r>
    </w:p>
    <w:p>
      <w:pPr>
        <w:keepNext w:val="0"/>
        <w:keepLines w:val="0"/>
        <w:pageBreakBefore w:val="0"/>
        <w:widowControl w:val="0"/>
        <w:kinsoku/>
        <w:wordWrap/>
        <w:overflowPunct/>
        <w:topLinePunct w:val="0"/>
        <w:autoSpaceDE/>
        <w:autoSpaceDN/>
        <w:bidi w:val="0"/>
        <w:adjustRightInd/>
        <w:spacing w:line="600" w:lineRule="exact"/>
        <w:ind w:firstLine="642" w:firstLineChars="200"/>
        <w:jc w:val="both"/>
        <w:textAlignment w:val="auto"/>
        <w:rPr>
          <w:rFonts w:hint="eastAsia" w:ascii="仿宋" w:hAnsi="仿宋" w:eastAsia="仿宋" w:cs="仿宋"/>
          <w:sz w:val="32"/>
          <w:szCs w:val="32"/>
          <w:highlight w:val="none"/>
          <w:lang w:eastAsia="zh-CN"/>
        </w:rPr>
      </w:pPr>
      <w:r>
        <w:rPr>
          <w:rFonts w:hint="eastAsia" w:ascii="仿宋" w:hAnsi="仿宋" w:eastAsia="仿宋" w:cs="仿宋"/>
          <w:b/>
          <w:bCs/>
          <w:sz w:val="32"/>
          <w:szCs w:val="32"/>
          <w:highlight w:val="none"/>
        </w:rPr>
        <w:t>第十</w:t>
      </w:r>
      <w:r>
        <w:rPr>
          <w:rFonts w:hint="eastAsia" w:ascii="仿宋" w:hAnsi="仿宋" w:eastAsia="仿宋" w:cs="仿宋"/>
          <w:b/>
          <w:bCs/>
          <w:sz w:val="32"/>
          <w:szCs w:val="32"/>
          <w:highlight w:val="none"/>
          <w:lang w:val="en-US" w:eastAsia="zh-CN"/>
        </w:rPr>
        <w:t>二</w:t>
      </w:r>
      <w:r>
        <w:rPr>
          <w:rFonts w:hint="eastAsia" w:ascii="仿宋" w:hAnsi="仿宋" w:eastAsia="仿宋" w:cs="仿宋"/>
          <w:b/>
          <w:bCs/>
          <w:sz w:val="32"/>
          <w:szCs w:val="32"/>
          <w:highlight w:val="none"/>
        </w:rPr>
        <w:t>条</w:t>
      </w:r>
      <w:r>
        <w:rPr>
          <w:rFonts w:hint="eastAsia" w:ascii="仿宋" w:hAnsi="仿宋" w:eastAsia="仿宋" w:cs="仿宋"/>
          <w:sz w:val="32"/>
          <w:szCs w:val="32"/>
          <w:highlight w:val="none"/>
        </w:rPr>
        <w:t xml:space="preserve"> 期货保证金存管银行（以下简称存管银行）等期货保证金存管机构由交易所指定，提供期货保证金存管和资金划转等服务</w:t>
      </w:r>
      <w:r>
        <w:rPr>
          <w:rFonts w:hint="eastAsia" w:ascii="仿宋" w:hAnsi="仿宋" w:eastAsia="仿宋" w:cs="仿宋"/>
          <w:sz w:val="32"/>
          <w:szCs w:val="32"/>
          <w:highlight w:val="none"/>
          <w:lang w:eastAsia="zh-CN"/>
        </w:rPr>
        <w:t>。</w:t>
      </w:r>
    </w:p>
    <w:p>
      <w:pPr>
        <w:keepNext w:val="0"/>
        <w:keepLines w:val="0"/>
        <w:pageBreakBefore w:val="0"/>
        <w:widowControl w:val="0"/>
        <w:kinsoku/>
        <w:wordWrap/>
        <w:overflowPunct/>
        <w:topLinePunct w:val="0"/>
        <w:autoSpaceDE/>
        <w:autoSpaceDN/>
        <w:bidi w:val="0"/>
        <w:adjustRightInd/>
        <w:spacing w:line="600" w:lineRule="exact"/>
        <w:ind w:firstLine="640" w:firstLineChars="200"/>
        <w:jc w:val="both"/>
        <w:textAlignment w:val="auto"/>
        <w:rPr>
          <w:rFonts w:hint="eastAsia" w:ascii="仿宋" w:hAnsi="仿宋" w:eastAsia="仿宋" w:cs="仿宋"/>
          <w:b/>
          <w:bCs/>
          <w:highlight w:val="none"/>
        </w:rPr>
      </w:pPr>
      <w:r>
        <w:rPr>
          <w:rFonts w:hint="eastAsia" w:ascii="仿宋" w:hAnsi="仿宋" w:eastAsia="仿宋" w:cs="仿宋"/>
          <w:sz w:val="32"/>
          <w:szCs w:val="32"/>
          <w:highlight w:val="none"/>
        </w:rPr>
        <w:t>交易所有权对</w:t>
      </w:r>
      <w:r>
        <w:rPr>
          <w:rFonts w:hint="eastAsia" w:ascii="仿宋" w:hAnsi="仿宋" w:eastAsia="仿宋" w:cs="仿宋"/>
          <w:sz w:val="32"/>
          <w:szCs w:val="32"/>
          <w:highlight w:val="none"/>
          <w:lang w:val="en-US" w:eastAsia="zh-CN"/>
        </w:rPr>
        <w:t>期货保证金</w:t>
      </w:r>
      <w:r>
        <w:rPr>
          <w:rFonts w:hint="eastAsia" w:ascii="仿宋" w:hAnsi="仿宋" w:eastAsia="仿宋" w:cs="仿宋"/>
          <w:sz w:val="32"/>
          <w:szCs w:val="32"/>
          <w:highlight w:val="none"/>
        </w:rPr>
        <w:t>存管机构的期货结算</w:t>
      </w:r>
      <w:r>
        <w:rPr>
          <w:rFonts w:hint="eastAsia" w:ascii="仿宋" w:hAnsi="仿宋" w:eastAsia="仿宋" w:cs="仿宋"/>
          <w:sz w:val="32"/>
          <w:szCs w:val="32"/>
          <w:highlight w:val="none"/>
          <w:lang w:eastAsia="zh-CN"/>
        </w:rPr>
        <w:t>相关</w:t>
      </w:r>
      <w:r>
        <w:rPr>
          <w:rFonts w:hint="eastAsia" w:ascii="仿宋" w:hAnsi="仿宋" w:eastAsia="仿宋" w:cs="仿宋"/>
          <w:sz w:val="32"/>
          <w:szCs w:val="32"/>
          <w:highlight w:val="none"/>
        </w:rPr>
        <w:t>业务进行监督。</w:t>
      </w:r>
    </w:p>
    <w:p>
      <w:pPr>
        <w:keepNext w:val="0"/>
        <w:keepLines w:val="0"/>
        <w:pageBreakBefore w:val="0"/>
        <w:widowControl w:val="0"/>
        <w:kinsoku/>
        <w:wordWrap/>
        <w:overflowPunct/>
        <w:topLinePunct w:val="0"/>
        <w:autoSpaceDE/>
        <w:autoSpaceDN/>
        <w:bidi w:val="0"/>
        <w:adjustRightInd/>
        <w:spacing w:line="600" w:lineRule="exact"/>
        <w:ind w:firstLine="642"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第</w:t>
      </w:r>
      <w:r>
        <w:rPr>
          <w:rFonts w:hint="eastAsia" w:ascii="Times New Roman" w:hAnsi="Times New Roman" w:eastAsia="仿宋_GB2312" w:cs="Times New Roman"/>
          <w:b/>
          <w:bCs/>
          <w:sz w:val="32"/>
          <w:szCs w:val="32"/>
          <w:highlight w:val="none"/>
          <w:lang w:val="en-US" w:eastAsia="zh-CN"/>
        </w:rPr>
        <w:t>十三</w:t>
      </w:r>
      <w:r>
        <w:rPr>
          <w:rFonts w:hint="default" w:ascii="Times New Roman" w:hAnsi="Times New Roman" w:eastAsia="仿宋_GB2312" w:cs="Times New Roman"/>
          <w:b/>
          <w:bCs/>
          <w:sz w:val="32"/>
          <w:szCs w:val="32"/>
          <w:highlight w:val="none"/>
        </w:rPr>
        <w:t>条</w:t>
      </w:r>
      <w:r>
        <w:rPr>
          <w:rFonts w:hint="eastAsia" w:ascii="仿宋" w:hAnsi="仿宋" w:eastAsia="仿宋" w:cs="仿宋"/>
          <w:sz w:val="32"/>
          <w:szCs w:val="32"/>
          <w:highlight w:val="none"/>
        </w:rPr>
        <w:t xml:space="preserve"> 交易所在存管银行开设专用结算账户，用于存放会员的保证金及相关款项。</w:t>
      </w:r>
    </w:p>
    <w:p>
      <w:pPr>
        <w:keepNext w:val="0"/>
        <w:keepLines w:val="0"/>
        <w:pageBreakBefore w:val="0"/>
        <w:widowControl w:val="0"/>
        <w:kinsoku/>
        <w:wordWrap/>
        <w:overflowPunct/>
        <w:topLinePunct w:val="0"/>
        <w:autoSpaceDE/>
        <w:autoSpaceDN/>
        <w:bidi w:val="0"/>
        <w:adjustRightInd/>
        <w:spacing w:line="600" w:lineRule="exact"/>
        <w:ind w:firstLine="642" w:firstLineChars="200"/>
        <w:jc w:val="both"/>
        <w:textAlignment w:val="auto"/>
        <w:rPr>
          <w:rFonts w:hint="eastAsia" w:ascii="仿宋" w:hAnsi="仿宋" w:eastAsia="仿宋" w:cs="仿宋"/>
          <w:sz w:val="32"/>
          <w:szCs w:val="32"/>
          <w:highlight w:val="none"/>
          <w:lang w:eastAsia="zh-CN"/>
        </w:rPr>
      </w:pPr>
      <w:r>
        <w:rPr>
          <w:rFonts w:hint="eastAsia" w:ascii="仿宋" w:hAnsi="仿宋" w:eastAsia="仿宋" w:cs="仿宋"/>
          <w:b/>
          <w:bCs/>
          <w:sz w:val="32"/>
          <w:szCs w:val="32"/>
          <w:highlight w:val="none"/>
        </w:rPr>
        <w:t>第十</w:t>
      </w:r>
      <w:r>
        <w:rPr>
          <w:rFonts w:hint="eastAsia" w:ascii="仿宋" w:hAnsi="仿宋" w:eastAsia="仿宋" w:cs="仿宋"/>
          <w:b/>
          <w:bCs/>
          <w:sz w:val="32"/>
          <w:szCs w:val="32"/>
          <w:highlight w:val="none"/>
          <w:lang w:val="en-US" w:eastAsia="zh-CN"/>
        </w:rPr>
        <w:t>四</w:t>
      </w:r>
      <w:r>
        <w:rPr>
          <w:rFonts w:hint="eastAsia" w:ascii="仿宋" w:hAnsi="仿宋" w:eastAsia="仿宋" w:cs="仿宋"/>
          <w:b/>
          <w:bCs/>
          <w:sz w:val="32"/>
          <w:szCs w:val="32"/>
          <w:highlight w:val="none"/>
        </w:rPr>
        <w:t>条</w:t>
      </w:r>
      <w:r>
        <w:rPr>
          <w:rFonts w:hint="eastAsia" w:ascii="仿宋" w:hAnsi="仿宋" w:eastAsia="仿宋" w:cs="仿宋"/>
          <w:sz w:val="32"/>
          <w:szCs w:val="32"/>
          <w:highlight w:val="none"/>
        </w:rPr>
        <w:t xml:space="preserve"> 会员应当在存管银行开设保证金账户，</w:t>
      </w:r>
      <w:r>
        <w:rPr>
          <w:rFonts w:hint="eastAsia" w:ascii="仿宋" w:hAnsi="仿宋" w:eastAsia="仿宋" w:cs="仿宋"/>
          <w:sz w:val="32"/>
          <w:szCs w:val="32"/>
          <w:highlight w:val="none"/>
          <w:lang w:eastAsia="zh-CN"/>
        </w:rPr>
        <w:t>期货公司会员应当</w:t>
      </w:r>
      <w:r>
        <w:rPr>
          <w:rFonts w:hint="eastAsia" w:ascii="仿宋" w:hAnsi="仿宋" w:eastAsia="仿宋" w:cs="仿宋"/>
          <w:sz w:val="32"/>
          <w:szCs w:val="32"/>
          <w:highlight w:val="none"/>
          <w:shd w:val="clear" w:color="auto" w:fill="auto"/>
        </w:rPr>
        <w:t>将境外特殊参与者、境外中介机构、客户交纳的保证金存放于保证金账户，并与其自有资金分别保管，禁止违规挪用。</w:t>
      </w:r>
    </w:p>
    <w:p>
      <w:pPr>
        <w:keepNext w:val="0"/>
        <w:keepLines w:val="0"/>
        <w:pageBreakBefore w:val="0"/>
        <w:widowControl w:val="0"/>
        <w:kinsoku/>
        <w:wordWrap/>
        <w:overflowPunct/>
        <w:topLinePunct w:val="0"/>
        <w:autoSpaceDE/>
        <w:autoSpaceDN/>
        <w:bidi w:val="0"/>
        <w:adjustRightInd/>
        <w:spacing w:line="600" w:lineRule="exact"/>
        <w:ind w:firstLine="642" w:firstLineChars="200"/>
        <w:jc w:val="both"/>
        <w:textAlignment w:val="auto"/>
        <w:rPr>
          <w:rFonts w:hint="eastAsia" w:ascii="仿宋" w:hAnsi="仿宋" w:eastAsia="仿宋" w:cs="仿宋"/>
          <w:sz w:val="32"/>
          <w:szCs w:val="32"/>
          <w:highlight w:val="none"/>
        </w:rPr>
      </w:pPr>
      <w:r>
        <w:rPr>
          <w:rFonts w:hint="eastAsia" w:ascii="仿宋" w:hAnsi="仿宋" w:eastAsia="仿宋" w:cs="仿宋"/>
          <w:b/>
          <w:bCs/>
          <w:sz w:val="32"/>
          <w:szCs w:val="32"/>
          <w:highlight w:val="none"/>
        </w:rPr>
        <w:t>第十</w:t>
      </w:r>
      <w:r>
        <w:rPr>
          <w:rFonts w:hint="eastAsia" w:ascii="仿宋" w:hAnsi="仿宋" w:eastAsia="仿宋" w:cs="仿宋"/>
          <w:b/>
          <w:bCs/>
          <w:sz w:val="32"/>
          <w:szCs w:val="32"/>
          <w:highlight w:val="none"/>
          <w:lang w:val="en-US" w:eastAsia="zh-CN"/>
        </w:rPr>
        <w:t>五</w:t>
      </w:r>
      <w:r>
        <w:rPr>
          <w:rFonts w:hint="eastAsia" w:ascii="仿宋" w:hAnsi="仿宋" w:eastAsia="仿宋" w:cs="仿宋"/>
          <w:b/>
          <w:bCs/>
          <w:sz w:val="32"/>
          <w:szCs w:val="32"/>
          <w:highlight w:val="none"/>
        </w:rPr>
        <w:t>条</w:t>
      </w:r>
      <w:r>
        <w:rPr>
          <w:rFonts w:hint="eastAsia" w:ascii="仿宋" w:hAnsi="仿宋" w:eastAsia="仿宋" w:cs="仿宋"/>
          <w:sz w:val="32"/>
          <w:szCs w:val="32"/>
          <w:highlight w:val="none"/>
        </w:rPr>
        <w:t xml:space="preserve"> 交易所与会员之间的期货业务资金往来应当通过交易所专用结算账户和会员专用资金账户办理。</w:t>
      </w:r>
    </w:p>
    <w:p>
      <w:pPr>
        <w:keepNext w:val="0"/>
        <w:keepLines w:val="0"/>
        <w:pageBreakBefore w:val="0"/>
        <w:widowControl w:val="0"/>
        <w:kinsoku/>
        <w:wordWrap/>
        <w:overflowPunct/>
        <w:topLinePunct w:val="0"/>
        <w:autoSpaceDE/>
        <w:autoSpaceDN/>
        <w:bidi w:val="0"/>
        <w:adjustRightInd/>
        <w:spacing w:line="600" w:lineRule="exact"/>
        <w:ind w:firstLine="640" w:firstLineChars="200"/>
        <w:jc w:val="both"/>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会员在交易所指定存管银行分支机构开设并向交易所备案登记的保证金账户为专用资金账户。</w:t>
      </w:r>
    </w:p>
    <w:p>
      <w:pPr>
        <w:keepNext w:val="0"/>
        <w:keepLines w:val="0"/>
        <w:pageBreakBefore w:val="0"/>
        <w:widowControl w:val="0"/>
        <w:kinsoku/>
        <w:wordWrap/>
        <w:overflowPunct/>
        <w:topLinePunct w:val="0"/>
        <w:autoSpaceDE/>
        <w:autoSpaceDN/>
        <w:bidi w:val="0"/>
        <w:adjustRightInd/>
        <w:spacing w:line="600" w:lineRule="exact"/>
        <w:ind w:firstLine="642" w:firstLineChars="200"/>
        <w:jc w:val="both"/>
        <w:textAlignment w:val="auto"/>
        <w:rPr>
          <w:rFonts w:hint="eastAsia" w:ascii="仿宋" w:hAnsi="仿宋" w:eastAsia="仿宋" w:cs="仿宋"/>
          <w:sz w:val="32"/>
          <w:szCs w:val="32"/>
          <w:highlight w:val="none"/>
        </w:rPr>
      </w:pPr>
      <w:r>
        <w:rPr>
          <w:rFonts w:hint="eastAsia" w:ascii="仿宋" w:hAnsi="仿宋" w:eastAsia="仿宋" w:cs="仿宋"/>
          <w:b/>
          <w:bCs/>
          <w:sz w:val="32"/>
          <w:szCs w:val="32"/>
          <w:highlight w:val="none"/>
        </w:rPr>
        <w:t>第十</w:t>
      </w:r>
      <w:r>
        <w:rPr>
          <w:rFonts w:hint="eastAsia" w:ascii="仿宋" w:hAnsi="仿宋" w:eastAsia="仿宋" w:cs="仿宋"/>
          <w:b/>
          <w:bCs/>
          <w:sz w:val="32"/>
          <w:szCs w:val="32"/>
          <w:highlight w:val="none"/>
          <w:lang w:val="en-US" w:eastAsia="zh-CN"/>
        </w:rPr>
        <w:t>六</w:t>
      </w:r>
      <w:r>
        <w:rPr>
          <w:rFonts w:hint="eastAsia" w:ascii="仿宋" w:hAnsi="仿宋" w:eastAsia="仿宋" w:cs="仿宋"/>
          <w:b/>
          <w:bCs/>
          <w:sz w:val="32"/>
          <w:szCs w:val="32"/>
          <w:highlight w:val="none"/>
        </w:rPr>
        <w:t>条</w:t>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eastAsia="zh-CN"/>
        </w:rPr>
        <w:t>交易所实行当日无负债结算制度。</w:t>
      </w:r>
      <w:r>
        <w:rPr>
          <w:rFonts w:hint="eastAsia" w:ascii="仿宋" w:hAnsi="仿宋" w:eastAsia="仿宋" w:cs="仿宋"/>
          <w:sz w:val="32"/>
          <w:szCs w:val="32"/>
          <w:highlight w:val="none"/>
        </w:rPr>
        <w:t>交易所在规定的交易时间结束后，按当日结算价结算所有合约的盈亏、交易保证金</w:t>
      </w:r>
      <w:r>
        <w:rPr>
          <w:rFonts w:hint="eastAsia" w:ascii="仿宋" w:hAnsi="仿宋" w:eastAsia="仿宋" w:cs="仿宋"/>
          <w:sz w:val="32"/>
          <w:szCs w:val="32"/>
          <w:highlight w:val="none"/>
          <w:lang w:eastAsia="zh-CN"/>
        </w:rPr>
        <w:t>，收付</w:t>
      </w:r>
      <w:r>
        <w:rPr>
          <w:rFonts w:hint="eastAsia" w:ascii="仿宋" w:hAnsi="仿宋" w:eastAsia="仿宋" w:cs="仿宋"/>
          <w:sz w:val="32"/>
          <w:szCs w:val="32"/>
          <w:highlight w:val="none"/>
        </w:rPr>
        <w:t>期权权利金，收取手续费等款项，对应收应付的款项实行净额划转，相应增加或减少会员的结算准备金。</w:t>
      </w:r>
    </w:p>
    <w:p>
      <w:pPr>
        <w:keepNext w:val="0"/>
        <w:keepLines w:val="0"/>
        <w:pageBreakBefore w:val="0"/>
        <w:widowControl w:val="0"/>
        <w:kinsoku/>
        <w:wordWrap/>
        <w:overflowPunct/>
        <w:topLinePunct w:val="0"/>
        <w:autoSpaceDE/>
        <w:autoSpaceDN/>
        <w:bidi w:val="0"/>
        <w:adjustRightInd/>
        <w:spacing w:line="600" w:lineRule="exact"/>
        <w:ind w:firstLine="642" w:firstLineChars="200"/>
        <w:jc w:val="both"/>
        <w:textAlignment w:val="auto"/>
        <w:rPr>
          <w:rFonts w:hint="eastAsia" w:ascii="仿宋" w:hAnsi="仿宋" w:eastAsia="仿宋" w:cs="仿宋"/>
          <w:sz w:val="32"/>
          <w:szCs w:val="32"/>
          <w:highlight w:val="none"/>
          <w:lang w:eastAsia="zh-CN"/>
        </w:rPr>
      </w:pPr>
      <w:r>
        <w:rPr>
          <w:rFonts w:hint="eastAsia" w:ascii="仿宋" w:hAnsi="仿宋" w:eastAsia="仿宋" w:cs="仿宋"/>
          <w:b/>
          <w:bCs/>
          <w:sz w:val="32"/>
          <w:szCs w:val="32"/>
          <w:highlight w:val="none"/>
          <w:lang w:eastAsia="zh-CN"/>
        </w:rPr>
        <w:t>第十</w:t>
      </w:r>
      <w:r>
        <w:rPr>
          <w:rFonts w:hint="eastAsia" w:ascii="仿宋" w:hAnsi="仿宋" w:eastAsia="仿宋" w:cs="仿宋"/>
          <w:b/>
          <w:bCs/>
          <w:sz w:val="32"/>
          <w:szCs w:val="32"/>
          <w:highlight w:val="none"/>
          <w:lang w:val="en-US" w:eastAsia="zh-CN"/>
        </w:rPr>
        <w:t xml:space="preserve">七条 </w:t>
      </w:r>
      <w:r>
        <w:rPr>
          <w:rFonts w:hint="eastAsia" w:ascii="仿宋" w:hAnsi="仿宋" w:eastAsia="仿宋" w:cs="仿宋"/>
          <w:sz w:val="32"/>
          <w:szCs w:val="32"/>
          <w:highlight w:val="none"/>
        </w:rPr>
        <w:t>每日</w:t>
      </w:r>
      <w:r>
        <w:rPr>
          <w:rFonts w:hint="default" w:ascii="仿宋" w:hAnsi="仿宋" w:eastAsia="仿宋" w:cs="仿宋"/>
          <w:sz w:val="32"/>
          <w:szCs w:val="32"/>
          <w:highlight w:val="none"/>
          <w:lang w:eastAsia="zh-CN"/>
        </w:rPr>
        <w:t>结算</w:t>
      </w:r>
      <w:r>
        <w:rPr>
          <w:rFonts w:hint="eastAsia" w:ascii="仿宋" w:hAnsi="仿宋" w:eastAsia="仿宋" w:cs="仿宋"/>
          <w:sz w:val="32"/>
          <w:szCs w:val="32"/>
          <w:highlight w:val="none"/>
        </w:rPr>
        <w:t>结束</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会员可按照规定方式获得</w:t>
      </w:r>
      <w:r>
        <w:rPr>
          <w:rFonts w:hint="eastAsia" w:ascii="仿宋" w:hAnsi="仿宋" w:eastAsia="仿宋" w:cs="仿宋"/>
          <w:sz w:val="32"/>
          <w:szCs w:val="32"/>
          <w:highlight w:val="none"/>
          <w:lang w:eastAsia="zh-CN"/>
        </w:rPr>
        <w:t>结算数据</w:t>
      </w:r>
      <w:r>
        <w:rPr>
          <w:rFonts w:hint="eastAsia" w:ascii="仿宋" w:hAnsi="仿宋" w:eastAsia="仿宋" w:cs="仿宋"/>
          <w:sz w:val="32"/>
          <w:szCs w:val="32"/>
          <w:highlight w:val="none"/>
        </w:rPr>
        <w:t>。会员应及时核对</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如有异议应</w:t>
      </w:r>
      <w:r>
        <w:rPr>
          <w:rFonts w:hint="eastAsia" w:ascii="仿宋" w:hAnsi="仿宋" w:eastAsia="仿宋" w:cs="仿宋"/>
          <w:sz w:val="32"/>
          <w:szCs w:val="32"/>
          <w:highlight w:val="none"/>
          <w:lang w:eastAsia="zh-CN"/>
        </w:rPr>
        <w:t>当</w:t>
      </w:r>
      <w:r>
        <w:rPr>
          <w:rFonts w:hint="eastAsia" w:ascii="仿宋" w:hAnsi="仿宋" w:eastAsia="仿宋" w:cs="仿宋"/>
          <w:sz w:val="32"/>
          <w:szCs w:val="32"/>
          <w:highlight w:val="none"/>
        </w:rPr>
        <w:t>在</w:t>
      </w:r>
      <w:r>
        <w:rPr>
          <w:rFonts w:hint="eastAsia" w:ascii="仿宋" w:hAnsi="仿宋" w:eastAsia="仿宋" w:cs="仿宋"/>
          <w:sz w:val="32"/>
          <w:szCs w:val="32"/>
          <w:highlight w:val="none"/>
          <w:lang w:eastAsia="zh-CN"/>
        </w:rPr>
        <w:t>交易所规定的时间内</w:t>
      </w:r>
      <w:r>
        <w:rPr>
          <w:rFonts w:hint="eastAsia" w:ascii="仿宋" w:hAnsi="仿宋" w:eastAsia="仿宋" w:cs="仿宋"/>
          <w:sz w:val="32"/>
          <w:szCs w:val="32"/>
          <w:highlight w:val="none"/>
        </w:rPr>
        <w:t>以书面形式向交易所提出。未在规定时间内提出的，视为对</w:t>
      </w:r>
      <w:r>
        <w:rPr>
          <w:rFonts w:hint="eastAsia" w:ascii="仿宋" w:hAnsi="仿宋" w:eastAsia="仿宋" w:cs="仿宋"/>
          <w:sz w:val="32"/>
          <w:szCs w:val="32"/>
          <w:highlight w:val="none"/>
          <w:lang w:eastAsia="zh-CN"/>
        </w:rPr>
        <w:t>结算数据</w:t>
      </w:r>
      <w:r>
        <w:rPr>
          <w:rFonts w:hint="eastAsia" w:ascii="仿宋" w:hAnsi="仿宋" w:eastAsia="仿宋" w:cs="仿宋"/>
          <w:sz w:val="32"/>
          <w:szCs w:val="32"/>
          <w:highlight w:val="none"/>
        </w:rPr>
        <w:t>无异议。</w:t>
      </w:r>
    </w:p>
    <w:p>
      <w:pPr>
        <w:keepNext w:val="0"/>
        <w:keepLines w:val="0"/>
        <w:pageBreakBefore w:val="0"/>
        <w:widowControl w:val="0"/>
        <w:kinsoku/>
        <w:wordWrap/>
        <w:overflowPunct/>
        <w:topLinePunct w:val="0"/>
        <w:autoSpaceDE/>
        <w:autoSpaceDN/>
        <w:bidi w:val="0"/>
        <w:adjustRightInd/>
        <w:spacing w:line="600" w:lineRule="exact"/>
        <w:ind w:firstLine="642" w:firstLineChars="200"/>
        <w:jc w:val="both"/>
        <w:textAlignment w:val="auto"/>
        <w:rPr>
          <w:rFonts w:hint="eastAsia" w:ascii="仿宋" w:hAnsi="仿宋" w:eastAsia="仿宋" w:cs="仿宋"/>
          <w:sz w:val="32"/>
          <w:szCs w:val="32"/>
          <w:highlight w:val="none"/>
        </w:rPr>
      </w:pPr>
      <w:r>
        <w:rPr>
          <w:rFonts w:hint="eastAsia" w:ascii="仿宋" w:hAnsi="仿宋" w:eastAsia="仿宋" w:cs="仿宋"/>
          <w:b/>
          <w:bCs/>
          <w:sz w:val="32"/>
          <w:szCs w:val="32"/>
          <w:highlight w:val="none"/>
          <w:lang w:eastAsia="zh-CN"/>
        </w:rPr>
        <w:t>第十</w:t>
      </w:r>
      <w:r>
        <w:rPr>
          <w:rFonts w:hint="eastAsia" w:ascii="仿宋" w:hAnsi="仿宋" w:eastAsia="仿宋" w:cs="仿宋"/>
          <w:b/>
          <w:bCs/>
          <w:sz w:val="32"/>
          <w:szCs w:val="32"/>
          <w:highlight w:val="none"/>
          <w:lang w:val="en-US" w:eastAsia="zh-CN"/>
        </w:rPr>
        <w:t>八条</w:t>
      </w:r>
      <w:r>
        <w:rPr>
          <w:rFonts w:hint="eastAsia" w:ascii="仿宋" w:hAnsi="仿宋" w:eastAsia="仿宋" w:cs="仿宋"/>
          <w:sz w:val="32"/>
          <w:szCs w:val="32"/>
          <w:highlight w:val="none"/>
          <w:lang w:val="en-US" w:eastAsia="zh-CN"/>
        </w:rPr>
        <w:t xml:space="preserve"> </w:t>
      </w:r>
      <w:r>
        <w:rPr>
          <w:rFonts w:hint="eastAsia" w:ascii="仿宋" w:hAnsi="仿宋" w:eastAsia="仿宋" w:cs="仿宋"/>
          <w:sz w:val="32"/>
          <w:szCs w:val="32"/>
          <w:highlight w:val="none"/>
        </w:rPr>
        <w:t>期货公司会员、境外特殊经纪参与者和境外中介机构在每</w:t>
      </w:r>
      <w:r>
        <w:rPr>
          <w:rFonts w:hint="eastAsia" w:ascii="仿宋" w:hAnsi="仿宋" w:eastAsia="仿宋" w:cs="仿宋"/>
          <w:sz w:val="32"/>
          <w:szCs w:val="32"/>
          <w:highlight w:val="none"/>
          <w:lang w:eastAsia="zh-CN"/>
        </w:rPr>
        <w:t>日</w:t>
      </w:r>
      <w:r>
        <w:rPr>
          <w:rFonts w:hint="eastAsia" w:ascii="仿宋" w:hAnsi="仿宋" w:eastAsia="仿宋" w:cs="仿宋"/>
          <w:sz w:val="32"/>
          <w:szCs w:val="32"/>
          <w:highlight w:val="none"/>
        </w:rPr>
        <w:t>结算后应当按规定为其客户提供交易结算报告。客户有权按照合同约定的时间和方式知悉交易结算报告的内容。</w:t>
      </w:r>
    </w:p>
    <w:p>
      <w:pPr>
        <w:keepNext w:val="0"/>
        <w:keepLines w:val="0"/>
        <w:pageBreakBefore w:val="0"/>
        <w:widowControl w:val="0"/>
        <w:shd w:val="clear" w:color="auto" w:fill="auto"/>
        <w:tabs>
          <w:tab w:val="left" w:pos="5883"/>
        </w:tabs>
        <w:kinsoku/>
        <w:wordWrap/>
        <w:overflowPunct/>
        <w:topLinePunct w:val="0"/>
        <w:autoSpaceDE/>
        <w:autoSpaceDN/>
        <w:bidi w:val="0"/>
        <w:adjustRightInd/>
        <w:spacing w:line="600" w:lineRule="exact"/>
        <w:ind w:firstLine="642" w:firstLineChars="200"/>
        <w:jc w:val="both"/>
        <w:textAlignment w:val="auto"/>
        <w:rPr>
          <w:rFonts w:hint="eastAsia" w:ascii="仿宋" w:hAnsi="仿宋" w:eastAsia="仿宋" w:cs="仿宋"/>
          <w:sz w:val="32"/>
          <w:szCs w:val="32"/>
          <w:highlight w:val="none"/>
        </w:rPr>
      </w:pPr>
      <w:r>
        <w:rPr>
          <w:rFonts w:hint="eastAsia" w:ascii="仿宋" w:hAnsi="仿宋" w:eastAsia="仿宋" w:cs="仿宋"/>
          <w:b/>
          <w:bCs/>
          <w:sz w:val="32"/>
          <w:szCs w:val="32"/>
          <w:highlight w:val="none"/>
        </w:rPr>
        <w:t>第</w:t>
      </w:r>
      <w:r>
        <w:rPr>
          <w:rFonts w:hint="eastAsia" w:ascii="仿宋" w:hAnsi="仿宋" w:eastAsia="仿宋" w:cs="仿宋"/>
          <w:b/>
          <w:bCs/>
          <w:sz w:val="32"/>
          <w:szCs w:val="32"/>
          <w:highlight w:val="none"/>
          <w:lang w:val="en-US" w:eastAsia="zh-CN"/>
        </w:rPr>
        <w:t>十九</w:t>
      </w:r>
      <w:r>
        <w:rPr>
          <w:rFonts w:hint="eastAsia" w:ascii="仿宋" w:hAnsi="仿宋" w:eastAsia="仿宋" w:cs="仿宋"/>
          <w:b/>
          <w:bCs/>
          <w:sz w:val="32"/>
          <w:szCs w:val="32"/>
          <w:highlight w:val="none"/>
        </w:rPr>
        <w:t>条</w:t>
      </w:r>
      <w:r>
        <w:rPr>
          <w:rFonts w:hint="eastAsia" w:ascii="仿宋" w:hAnsi="仿宋" w:eastAsia="仿宋" w:cs="仿宋"/>
          <w:sz w:val="32"/>
          <w:szCs w:val="32"/>
          <w:highlight w:val="none"/>
        </w:rPr>
        <w:t xml:space="preserve"> 会员的结算准备金余额低于交易所规定的结算准备金最低余额的，应当追加保证金</w:t>
      </w:r>
      <w:r>
        <w:rPr>
          <w:rFonts w:hint="eastAsia" w:ascii="仿宋" w:hAnsi="仿宋" w:eastAsia="仿宋" w:cs="仿宋"/>
          <w:sz w:val="32"/>
          <w:szCs w:val="32"/>
          <w:highlight w:val="none"/>
          <w:lang w:eastAsia="zh-CN"/>
        </w:rPr>
        <w:t>或者自行平仓</w:t>
      </w:r>
      <w:r>
        <w:rPr>
          <w:rFonts w:hint="eastAsia" w:ascii="仿宋" w:hAnsi="仿宋" w:eastAsia="仿宋" w:cs="仿宋"/>
          <w:sz w:val="32"/>
          <w:szCs w:val="32"/>
          <w:highlight w:val="none"/>
        </w:rPr>
        <w:t>。</w:t>
      </w:r>
    </w:p>
    <w:p>
      <w:pPr>
        <w:keepNext w:val="0"/>
        <w:keepLines w:val="0"/>
        <w:pageBreakBefore w:val="0"/>
        <w:widowControl w:val="0"/>
        <w:kinsoku/>
        <w:wordWrap/>
        <w:overflowPunct/>
        <w:topLinePunct w:val="0"/>
        <w:autoSpaceDE/>
        <w:autoSpaceDN/>
        <w:bidi w:val="0"/>
        <w:adjustRightInd/>
        <w:spacing w:line="600" w:lineRule="exact"/>
        <w:ind w:firstLine="640" w:firstLineChars="200"/>
        <w:jc w:val="both"/>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会员应当在规定时间内补足至结算准备金最低余额。未补足的，若结算准备金余额低于结算准备金最低余额，不得开仓；若结算准备金余额小于零且未在规定时间内自行平仓的，则交易所将对该会员采取强行平仓等风险控制措施。</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rPr>
        <w:t>交易所可以根据市场风险状况，在交易过程中或者交易日终向风险较大的会员发出追加保证金的通知。</w:t>
      </w:r>
    </w:p>
    <w:p>
      <w:pPr>
        <w:keepNext w:val="0"/>
        <w:keepLines w:val="0"/>
        <w:pageBreakBefore w:val="0"/>
        <w:widowControl/>
        <w:kinsoku/>
        <w:wordWrap/>
        <w:overflowPunct/>
        <w:topLinePunct w:val="0"/>
        <w:autoSpaceDE/>
        <w:autoSpaceDN/>
        <w:bidi w:val="0"/>
        <w:adjustRightInd/>
        <w:snapToGrid w:val="0"/>
        <w:spacing w:before="0" w:after="0" w:line="600" w:lineRule="exact"/>
        <w:jc w:val="center"/>
        <w:textAlignment w:val="auto"/>
        <w:rPr>
          <w:rFonts w:hint="default" w:ascii="Times New Roman" w:hAnsi="Times New Roman" w:eastAsia="黑体" w:cs="Times New Roman"/>
          <w:color w:val="000000"/>
          <w:kern w:val="0"/>
          <w:sz w:val="32"/>
          <w:szCs w:val="32"/>
          <w:highlight w:val="none"/>
          <w:lang w:val="en-US" w:eastAsia="zh-CN"/>
        </w:rPr>
      </w:pPr>
      <w:r>
        <w:rPr>
          <w:rFonts w:hint="default" w:ascii="Times New Roman" w:hAnsi="Times New Roman" w:eastAsia="黑体" w:cs="Times New Roman"/>
          <w:color w:val="000000"/>
          <w:kern w:val="0"/>
          <w:sz w:val="32"/>
          <w:szCs w:val="32"/>
          <w:highlight w:val="none"/>
          <w:lang w:val="en-US" w:eastAsia="zh-CN"/>
        </w:rPr>
        <w:t>第四章 交割结算</w:t>
      </w:r>
    </w:p>
    <w:p>
      <w:pPr>
        <w:keepNext w:val="0"/>
        <w:keepLines w:val="0"/>
        <w:pageBreakBefore w:val="0"/>
        <w:widowControl/>
        <w:kinsoku/>
        <w:wordWrap/>
        <w:overflowPunct/>
        <w:topLinePunct w:val="0"/>
        <w:autoSpaceDE/>
        <w:autoSpaceDN/>
        <w:bidi w:val="0"/>
        <w:adjustRightInd/>
        <w:snapToGrid w:val="0"/>
        <w:spacing w:line="600" w:lineRule="exact"/>
        <w:ind w:firstLine="642" w:firstLineChars="200"/>
        <w:jc w:val="both"/>
        <w:textAlignment w:val="auto"/>
        <w:rPr>
          <w:rFonts w:hint="eastAsia" w:ascii="仿宋" w:hAnsi="仿宋" w:eastAsia="仿宋" w:cs="仿宋"/>
          <w:b w:val="0"/>
          <w:bCs/>
          <w:color w:val="000000"/>
          <w:kern w:val="0"/>
          <w:sz w:val="32"/>
          <w:szCs w:val="32"/>
          <w:highlight w:val="none"/>
          <w:lang w:val="en-US" w:eastAsia="zh-CN"/>
        </w:rPr>
      </w:pPr>
      <w:r>
        <w:rPr>
          <w:rFonts w:hint="eastAsia" w:ascii="仿宋" w:hAnsi="仿宋" w:eastAsia="仿宋" w:cs="仿宋"/>
          <w:b/>
          <w:color w:val="000000"/>
          <w:kern w:val="0"/>
          <w:sz w:val="32"/>
          <w:szCs w:val="32"/>
          <w:highlight w:val="none"/>
          <w:lang w:eastAsia="zh-CN"/>
        </w:rPr>
        <w:t>第二十</w:t>
      </w:r>
      <w:r>
        <w:rPr>
          <w:rFonts w:hint="eastAsia" w:ascii="仿宋" w:hAnsi="仿宋" w:eastAsia="仿宋" w:cs="仿宋"/>
          <w:b/>
          <w:color w:val="000000"/>
          <w:kern w:val="0"/>
          <w:sz w:val="32"/>
          <w:szCs w:val="32"/>
          <w:highlight w:val="none"/>
          <w:lang w:val="en-US" w:eastAsia="zh-CN"/>
        </w:rPr>
        <w:t xml:space="preserve">条 </w:t>
      </w:r>
      <w:r>
        <w:rPr>
          <w:rFonts w:hint="eastAsia" w:ascii="仿宋" w:hAnsi="仿宋" w:eastAsia="仿宋" w:cs="仿宋"/>
          <w:b w:val="0"/>
          <w:bCs/>
          <w:color w:val="000000"/>
          <w:kern w:val="0"/>
          <w:sz w:val="32"/>
          <w:szCs w:val="32"/>
          <w:highlight w:val="none"/>
          <w:lang w:val="en-US" w:eastAsia="zh-CN"/>
        </w:rPr>
        <w:t>期货合约到期时，交易者应当通过实物交割或者现金交割，了结到期未平仓合约。</w:t>
      </w:r>
    </w:p>
    <w:p>
      <w:pPr>
        <w:keepNext w:val="0"/>
        <w:keepLines w:val="0"/>
        <w:pageBreakBefore w:val="0"/>
        <w:widowControl/>
        <w:kinsoku/>
        <w:wordWrap/>
        <w:overflowPunct/>
        <w:topLinePunct w:val="0"/>
        <w:autoSpaceDE/>
        <w:autoSpaceDN/>
        <w:bidi w:val="0"/>
        <w:adjustRightInd/>
        <w:snapToGrid w:val="0"/>
        <w:spacing w:line="600" w:lineRule="exact"/>
        <w:ind w:firstLine="640" w:firstLineChars="200"/>
        <w:jc w:val="both"/>
        <w:textAlignment w:val="auto"/>
        <w:rPr>
          <w:rFonts w:hint="eastAsia" w:ascii="仿宋" w:hAnsi="仿宋" w:eastAsia="仿宋" w:cs="仿宋"/>
          <w:b w:val="0"/>
          <w:bCs/>
          <w:color w:val="000000"/>
          <w:kern w:val="0"/>
          <w:sz w:val="32"/>
          <w:szCs w:val="32"/>
          <w:highlight w:val="none"/>
          <w:lang w:eastAsia="zh-CN"/>
        </w:rPr>
      </w:pPr>
      <w:r>
        <w:rPr>
          <w:rFonts w:hint="eastAsia" w:ascii="仿宋" w:hAnsi="仿宋" w:eastAsia="仿宋" w:cs="仿宋"/>
          <w:b w:val="0"/>
          <w:bCs/>
          <w:color w:val="000000"/>
          <w:kern w:val="0"/>
          <w:sz w:val="32"/>
          <w:szCs w:val="32"/>
          <w:highlight w:val="none"/>
          <w:lang w:val="en-US" w:eastAsia="zh-CN"/>
        </w:rPr>
        <w:t>在期权合约规定的时间，合约的买方有权以约定的价格买入或卖出标的物，或者按照约定进行现金差价结算，合约的卖方应当按照约定履行相应的义务。期权合约的行权与履约，由交易所组织进行。</w:t>
      </w:r>
    </w:p>
    <w:p>
      <w:pPr>
        <w:keepNext w:val="0"/>
        <w:keepLines w:val="0"/>
        <w:pageBreakBefore w:val="0"/>
        <w:widowControl/>
        <w:kinsoku/>
        <w:wordWrap/>
        <w:overflowPunct/>
        <w:topLinePunct w:val="0"/>
        <w:autoSpaceDE/>
        <w:autoSpaceDN/>
        <w:bidi w:val="0"/>
        <w:adjustRightInd/>
        <w:snapToGrid/>
        <w:spacing w:before="0" w:line="600" w:lineRule="exact"/>
        <w:ind w:firstLine="642" w:firstLineChars="200"/>
        <w:jc w:val="both"/>
        <w:textAlignment w:val="auto"/>
        <w:rPr>
          <w:rFonts w:hint="eastAsia" w:ascii="仿宋" w:hAnsi="仿宋" w:eastAsia="仿宋" w:cs="仿宋"/>
          <w:b w:val="0"/>
          <w:bCs/>
          <w:color w:val="000000"/>
          <w:kern w:val="0"/>
          <w:sz w:val="32"/>
          <w:szCs w:val="32"/>
          <w:highlight w:val="none"/>
          <w:lang w:val="en-US" w:eastAsia="zh-CN"/>
        </w:rPr>
      </w:pPr>
      <w:r>
        <w:rPr>
          <w:rFonts w:hint="eastAsia" w:ascii="仿宋" w:hAnsi="仿宋" w:eastAsia="仿宋" w:cs="仿宋"/>
          <w:b/>
          <w:color w:val="000000"/>
          <w:kern w:val="0"/>
          <w:sz w:val="32"/>
          <w:szCs w:val="32"/>
          <w:highlight w:val="none"/>
          <w:lang w:eastAsia="zh-CN"/>
        </w:rPr>
        <w:t>第</w:t>
      </w:r>
      <w:r>
        <w:rPr>
          <w:rFonts w:hint="eastAsia" w:ascii="仿宋" w:hAnsi="仿宋" w:eastAsia="仿宋" w:cs="仿宋"/>
          <w:b/>
          <w:color w:val="000000"/>
          <w:kern w:val="0"/>
          <w:sz w:val="32"/>
          <w:szCs w:val="32"/>
          <w:highlight w:val="none"/>
          <w:lang w:val="en-US" w:eastAsia="zh-CN"/>
        </w:rPr>
        <w:t xml:space="preserve">二十一条 </w:t>
      </w:r>
      <w:r>
        <w:rPr>
          <w:rFonts w:hint="eastAsia" w:ascii="仿宋" w:hAnsi="仿宋" w:eastAsia="仿宋" w:cs="仿宋"/>
          <w:b w:val="0"/>
          <w:bCs/>
          <w:color w:val="000000"/>
          <w:kern w:val="0"/>
          <w:sz w:val="32"/>
          <w:szCs w:val="32"/>
          <w:highlight w:val="none"/>
          <w:lang w:val="en-US" w:eastAsia="zh-CN"/>
        </w:rPr>
        <w:t>期货合约采取实物交割的，由交易所负责组织货款与标准仓单等合约标的物权利凭证的交付。</w:t>
      </w:r>
    </w:p>
    <w:p>
      <w:pPr>
        <w:keepNext w:val="0"/>
        <w:keepLines w:val="0"/>
        <w:pageBreakBefore w:val="0"/>
        <w:widowControl/>
        <w:kinsoku/>
        <w:wordWrap/>
        <w:overflowPunct/>
        <w:topLinePunct w:val="0"/>
        <w:autoSpaceDE/>
        <w:autoSpaceDN/>
        <w:bidi w:val="0"/>
        <w:adjustRightInd/>
        <w:snapToGrid w:val="0"/>
        <w:spacing w:line="600" w:lineRule="exact"/>
        <w:ind w:firstLine="640" w:firstLineChars="200"/>
        <w:jc w:val="both"/>
        <w:textAlignment w:val="auto"/>
        <w:rPr>
          <w:rFonts w:hint="eastAsia" w:ascii="仿宋" w:hAnsi="仿宋" w:eastAsia="仿宋" w:cs="仿宋"/>
          <w:b w:val="0"/>
          <w:bCs/>
          <w:color w:val="000000"/>
          <w:kern w:val="0"/>
          <w:sz w:val="32"/>
          <w:szCs w:val="32"/>
          <w:highlight w:val="none"/>
          <w:lang w:val="en-US" w:eastAsia="zh-CN"/>
        </w:rPr>
      </w:pPr>
      <w:r>
        <w:rPr>
          <w:rFonts w:hint="eastAsia" w:ascii="仿宋" w:hAnsi="仿宋" w:eastAsia="仿宋" w:cs="仿宋"/>
          <w:b w:val="0"/>
          <w:bCs/>
          <w:color w:val="000000"/>
          <w:kern w:val="0"/>
          <w:sz w:val="32"/>
          <w:szCs w:val="32"/>
          <w:highlight w:val="none"/>
          <w:lang w:val="en-US" w:eastAsia="zh-CN"/>
        </w:rPr>
        <w:t>期货合约采取现金交割的，由交易所</w:t>
      </w:r>
      <w:r>
        <w:rPr>
          <w:rFonts w:hint="eastAsia" w:ascii="仿宋" w:hAnsi="仿宋" w:eastAsia="仿宋" w:cs="仿宋"/>
          <w:b w:val="0"/>
          <w:bCs/>
          <w:color w:val="000000"/>
          <w:kern w:val="0"/>
          <w:sz w:val="32"/>
          <w:szCs w:val="32"/>
          <w:highlight w:val="none"/>
          <w:lang w:eastAsia="zh-CN"/>
        </w:rPr>
        <w:t>以交割结算价为基础，</w:t>
      </w:r>
      <w:r>
        <w:rPr>
          <w:rFonts w:hint="eastAsia" w:ascii="仿宋" w:hAnsi="仿宋" w:eastAsia="仿宋" w:cs="仿宋"/>
          <w:b w:val="0"/>
          <w:bCs/>
          <w:color w:val="000000"/>
          <w:kern w:val="0"/>
          <w:sz w:val="32"/>
          <w:szCs w:val="32"/>
          <w:highlight w:val="none"/>
          <w:lang w:val="en-US" w:eastAsia="zh-CN"/>
        </w:rPr>
        <w:t>划付持仓双方的盈亏款项。</w:t>
      </w:r>
    </w:p>
    <w:p>
      <w:pPr>
        <w:keepNext w:val="0"/>
        <w:keepLines w:val="0"/>
        <w:pageBreakBefore w:val="0"/>
        <w:widowControl/>
        <w:kinsoku/>
        <w:wordWrap/>
        <w:overflowPunct/>
        <w:topLinePunct w:val="0"/>
        <w:autoSpaceDE/>
        <w:autoSpaceDN/>
        <w:bidi w:val="0"/>
        <w:adjustRightInd/>
        <w:snapToGrid w:val="0"/>
        <w:spacing w:line="600" w:lineRule="exact"/>
        <w:ind w:firstLine="642" w:firstLineChars="200"/>
        <w:jc w:val="both"/>
        <w:textAlignment w:val="auto"/>
        <w:rPr>
          <w:rFonts w:hint="eastAsia" w:ascii="仿宋" w:hAnsi="仿宋" w:eastAsia="仿宋" w:cs="仿宋"/>
          <w:b w:val="0"/>
          <w:bCs/>
          <w:color w:val="000000"/>
          <w:kern w:val="0"/>
          <w:sz w:val="32"/>
          <w:szCs w:val="32"/>
          <w:highlight w:val="none"/>
          <w:lang w:val="en-US" w:eastAsia="zh-CN"/>
        </w:rPr>
      </w:pPr>
      <w:r>
        <w:rPr>
          <w:rFonts w:hint="eastAsia" w:ascii="仿宋" w:hAnsi="仿宋" w:eastAsia="仿宋" w:cs="仿宋"/>
          <w:b/>
          <w:bCs w:val="0"/>
          <w:color w:val="000000"/>
          <w:kern w:val="0"/>
          <w:sz w:val="32"/>
          <w:szCs w:val="32"/>
          <w:highlight w:val="none"/>
          <w:lang w:val="en" w:eastAsia="zh-CN"/>
        </w:rPr>
        <w:t>第二十</w:t>
      </w:r>
      <w:r>
        <w:rPr>
          <w:rFonts w:hint="eastAsia" w:ascii="仿宋" w:hAnsi="仿宋" w:eastAsia="仿宋" w:cs="仿宋"/>
          <w:b/>
          <w:bCs w:val="0"/>
          <w:color w:val="000000"/>
          <w:kern w:val="0"/>
          <w:sz w:val="32"/>
          <w:szCs w:val="32"/>
          <w:highlight w:val="none"/>
          <w:lang w:val="en-US" w:eastAsia="zh-CN"/>
        </w:rPr>
        <w:t>二</w:t>
      </w:r>
      <w:r>
        <w:rPr>
          <w:rFonts w:hint="eastAsia" w:ascii="仿宋" w:hAnsi="仿宋" w:eastAsia="仿宋" w:cs="仿宋"/>
          <w:b/>
          <w:bCs w:val="0"/>
          <w:color w:val="000000"/>
          <w:kern w:val="0"/>
          <w:sz w:val="32"/>
          <w:szCs w:val="32"/>
          <w:highlight w:val="none"/>
          <w:lang w:val="en" w:eastAsia="zh-CN"/>
        </w:rPr>
        <w:t>条</w:t>
      </w:r>
      <w:r>
        <w:rPr>
          <w:rFonts w:hint="eastAsia" w:ascii="仿宋" w:hAnsi="仿宋" w:eastAsia="仿宋" w:cs="仿宋"/>
          <w:b w:val="0"/>
          <w:bCs/>
          <w:color w:val="000000"/>
          <w:kern w:val="0"/>
          <w:sz w:val="32"/>
          <w:szCs w:val="32"/>
          <w:highlight w:val="none"/>
          <w:lang w:val="en-US" w:eastAsia="zh-CN"/>
        </w:rPr>
        <w:t xml:space="preserve"> 会员进行实物交割的，应当在交易所规定的时间内将货款或交割标的进行交付。</w:t>
      </w:r>
    </w:p>
    <w:p>
      <w:pPr>
        <w:keepNext w:val="0"/>
        <w:keepLines w:val="0"/>
        <w:pageBreakBefore w:val="0"/>
        <w:widowControl/>
        <w:kinsoku/>
        <w:wordWrap/>
        <w:overflowPunct/>
        <w:topLinePunct w:val="0"/>
        <w:autoSpaceDE/>
        <w:autoSpaceDN/>
        <w:bidi w:val="0"/>
        <w:adjustRightInd/>
        <w:snapToGrid w:val="0"/>
        <w:spacing w:line="600" w:lineRule="exact"/>
        <w:ind w:firstLine="642" w:firstLineChars="200"/>
        <w:jc w:val="both"/>
        <w:textAlignment w:val="auto"/>
        <w:rPr>
          <w:rFonts w:hint="eastAsia" w:ascii="仿宋" w:hAnsi="仿宋" w:eastAsia="仿宋" w:cs="仿宋"/>
          <w:b w:val="0"/>
          <w:bCs/>
          <w:color w:val="000000"/>
          <w:kern w:val="0"/>
          <w:sz w:val="32"/>
          <w:szCs w:val="32"/>
          <w:highlight w:val="none"/>
          <w:lang w:val="en-US" w:eastAsia="zh-CN"/>
        </w:rPr>
      </w:pPr>
      <w:r>
        <w:rPr>
          <w:rFonts w:hint="eastAsia" w:ascii="仿宋" w:hAnsi="仿宋" w:eastAsia="仿宋" w:cs="仿宋"/>
          <w:b/>
          <w:bCs w:val="0"/>
          <w:color w:val="000000"/>
          <w:kern w:val="0"/>
          <w:sz w:val="32"/>
          <w:szCs w:val="32"/>
          <w:highlight w:val="none"/>
          <w:lang w:val="en-US" w:eastAsia="zh-CN"/>
        </w:rPr>
        <w:t>第二十三条</w:t>
      </w:r>
      <w:r>
        <w:rPr>
          <w:rFonts w:hint="eastAsia" w:ascii="仿宋" w:hAnsi="仿宋" w:eastAsia="仿宋" w:cs="仿宋"/>
          <w:b w:val="0"/>
          <w:bCs/>
          <w:color w:val="000000"/>
          <w:kern w:val="0"/>
          <w:sz w:val="32"/>
          <w:szCs w:val="32"/>
          <w:highlight w:val="none"/>
          <w:lang w:val="en-US" w:eastAsia="zh-CN"/>
        </w:rPr>
        <w:t xml:space="preserve"> 交割结算价为该期货合约交割结算的基准价。</w:t>
      </w:r>
    </w:p>
    <w:p>
      <w:pPr>
        <w:keepNext w:val="0"/>
        <w:keepLines w:val="0"/>
        <w:pageBreakBefore w:val="0"/>
        <w:widowControl/>
        <w:numPr>
          <w:ilvl w:val="0"/>
          <w:numId w:val="0"/>
        </w:numPr>
        <w:kinsoku/>
        <w:wordWrap/>
        <w:overflowPunct/>
        <w:topLinePunct w:val="0"/>
        <w:autoSpaceDE/>
        <w:autoSpaceDN/>
        <w:bidi w:val="0"/>
        <w:adjustRightInd/>
        <w:snapToGrid w:val="0"/>
        <w:spacing w:line="600" w:lineRule="exact"/>
        <w:ind w:firstLine="642" w:firstLineChars="200"/>
        <w:jc w:val="both"/>
        <w:textAlignment w:val="auto"/>
        <w:rPr>
          <w:rFonts w:hint="eastAsia" w:ascii="仿宋" w:hAnsi="仿宋" w:eastAsia="仿宋" w:cs="仿宋"/>
          <w:color w:val="000000"/>
          <w:kern w:val="0"/>
          <w:sz w:val="32"/>
          <w:szCs w:val="32"/>
          <w:highlight w:val="none"/>
        </w:rPr>
      </w:pPr>
      <w:r>
        <w:rPr>
          <w:rFonts w:hint="eastAsia" w:ascii="仿宋" w:hAnsi="仿宋" w:eastAsia="仿宋" w:cs="仿宋"/>
          <w:b/>
          <w:color w:val="000000"/>
          <w:kern w:val="0"/>
          <w:sz w:val="32"/>
          <w:szCs w:val="32"/>
          <w:highlight w:val="none"/>
        </w:rPr>
        <w:t>第</w:t>
      </w:r>
      <w:r>
        <w:rPr>
          <w:rFonts w:hint="eastAsia" w:ascii="仿宋" w:hAnsi="仿宋" w:eastAsia="仿宋" w:cs="仿宋"/>
          <w:b/>
          <w:color w:val="000000"/>
          <w:kern w:val="0"/>
          <w:sz w:val="32"/>
          <w:szCs w:val="32"/>
          <w:highlight w:val="none"/>
          <w:lang w:eastAsia="zh-CN"/>
        </w:rPr>
        <w:t>二十</w:t>
      </w:r>
      <w:r>
        <w:rPr>
          <w:rFonts w:hint="eastAsia" w:ascii="仿宋" w:hAnsi="仿宋" w:eastAsia="仿宋" w:cs="仿宋"/>
          <w:b/>
          <w:color w:val="000000"/>
          <w:kern w:val="0"/>
          <w:sz w:val="32"/>
          <w:szCs w:val="32"/>
          <w:highlight w:val="none"/>
          <w:lang w:val="en-US" w:eastAsia="zh-CN"/>
        </w:rPr>
        <w:t>四</w:t>
      </w:r>
      <w:r>
        <w:rPr>
          <w:rFonts w:hint="eastAsia" w:ascii="仿宋" w:hAnsi="仿宋" w:eastAsia="仿宋" w:cs="仿宋"/>
          <w:b/>
          <w:color w:val="000000"/>
          <w:kern w:val="0"/>
          <w:sz w:val="32"/>
          <w:szCs w:val="32"/>
          <w:highlight w:val="none"/>
        </w:rPr>
        <w:t>条</w:t>
      </w:r>
      <w:r>
        <w:rPr>
          <w:rFonts w:hint="eastAsia" w:ascii="仿宋" w:hAnsi="仿宋" w:eastAsia="仿宋" w:cs="仿宋"/>
          <w:color w:val="000000"/>
          <w:kern w:val="0"/>
          <w:sz w:val="32"/>
          <w:szCs w:val="32"/>
          <w:highlight w:val="none"/>
        </w:rPr>
        <w:t xml:space="preserve"> 在实物交割时，卖方会员未能在规定时间内如数交付标准仓单</w:t>
      </w:r>
      <w:r>
        <w:rPr>
          <w:rFonts w:hint="default" w:ascii="仿宋" w:hAnsi="仿宋" w:eastAsia="仿宋" w:cs="仿宋"/>
          <w:color w:val="000000"/>
          <w:kern w:val="0"/>
          <w:sz w:val="32"/>
          <w:szCs w:val="32"/>
          <w:highlight w:val="none"/>
          <w:lang w:val="en-US" w:eastAsia="zh-CN"/>
        </w:rPr>
        <w:t>等合约标的物权利凭证</w:t>
      </w:r>
      <w:r>
        <w:rPr>
          <w:rFonts w:hint="eastAsia" w:ascii="仿宋" w:hAnsi="仿宋" w:eastAsia="仿宋" w:cs="仿宋"/>
          <w:color w:val="000000"/>
          <w:kern w:val="0"/>
          <w:sz w:val="32"/>
          <w:szCs w:val="32"/>
          <w:highlight w:val="none"/>
        </w:rPr>
        <w:t>，或者买方会员未能在规定时间内足额交付货款的，均构成交割违约。交易所对交割违约另有规定的，适用其规定。</w:t>
      </w:r>
    </w:p>
    <w:p>
      <w:pPr>
        <w:keepNext w:val="0"/>
        <w:keepLines w:val="0"/>
        <w:pageBreakBefore w:val="0"/>
        <w:widowControl/>
        <w:kinsoku/>
        <w:wordWrap/>
        <w:overflowPunct/>
        <w:topLinePunct w:val="0"/>
        <w:autoSpaceDE/>
        <w:autoSpaceDN/>
        <w:bidi w:val="0"/>
        <w:adjustRightInd/>
        <w:snapToGrid w:val="0"/>
        <w:spacing w:line="600" w:lineRule="exact"/>
        <w:ind w:firstLine="642" w:firstLineChars="200"/>
        <w:jc w:val="both"/>
        <w:textAlignment w:val="auto"/>
        <w:rPr>
          <w:rFonts w:hint="eastAsia" w:ascii="仿宋" w:hAnsi="仿宋" w:eastAsia="仿宋" w:cs="仿宋"/>
          <w:color w:val="000000"/>
          <w:kern w:val="0"/>
          <w:sz w:val="32"/>
          <w:szCs w:val="32"/>
          <w:highlight w:val="none"/>
        </w:rPr>
      </w:pPr>
      <w:r>
        <w:rPr>
          <w:rFonts w:hint="eastAsia" w:ascii="仿宋" w:hAnsi="仿宋" w:eastAsia="仿宋" w:cs="仿宋"/>
          <w:b/>
          <w:color w:val="000000"/>
          <w:kern w:val="0"/>
          <w:sz w:val="32"/>
          <w:szCs w:val="32"/>
          <w:highlight w:val="none"/>
        </w:rPr>
        <w:t>第</w:t>
      </w:r>
      <w:r>
        <w:rPr>
          <w:rFonts w:hint="eastAsia" w:ascii="仿宋" w:hAnsi="仿宋" w:eastAsia="仿宋" w:cs="仿宋"/>
          <w:b/>
          <w:color w:val="000000"/>
          <w:kern w:val="0"/>
          <w:sz w:val="32"/>
          <w:szCs w:val="32"/>
          <w:highlight w:val="none"/>
          <w:lang w:eastAsia="zh-CN"/>
        </w:rPr>
        <w:t>二十</w:t>
      </w:r>
      <w:r>
        <w:rPr>
          <w:rFonts w:hint="eastAsia" w:ascii="仿宋" w:hAnsi="仿宋" w:eastAsia="仿宋" w:cs="仿宋"/>
          <w:b/>
          <w:color w:val="000000"/>
          <w:kern w:val="0"/>
          <w:sz w:val="32"/>
          <w:szCs w:val="32"/>
          <w:highlight w:val="none"/>
          <w:lang w:val="en-US" w:eastAsia="zh-CN"/>
        </w:rPr>
        <w:t>五</w:t>
      </w:r>
      <w:r>
        <w:rPr>
          <w:rFonts w:hint="eastAsia" w:ascii="仿宋" w:hAnsi="仿宋" w:eastAsia="仿宋" w:cs="仿宋"/>
          <w:b/>
          <w:color w:val="000000"/>
          <w:kern w:val="0"/>
          <w:sz w:val="32"/>
          <w:szCs w:val="32"/>
          <w:highlight w:val="none"/>
        </w:rPr>
        <w:t>条</w:t>
      </w:r>
      <w:r>
        <w:rPr>
          <w:rFonts w:hint="eastAsia" w:ascii="仿宋" w:hAnsi="仿宋" w:eastAsia="仿宋" w:cs="仿宋"/>
          <w:color w:val="000000"/>
          <w:kern w:val="0"/>
          <w:sz w:val="32"/>
          <w:szCs w:val="32"/>
          <w:highlight w:val="none"/>
        </w:rPr>
        <w:t xml:space="preserve"> 买卖双方发生交割违约行为的，交易所可采用违约金、赔偿金或者交易所规定的其他方式处理违约事宜，具体按交易所有关规定处理。</w:t>
      </w:r>
    </w:p>
    <w:p>
      <w:pPr>
        <w:keepNext w:val="0"/>
        <w:keepLines w:val="0"/>
        <w:pageBreakBefore w:val="0"/>
        <w:widowControl/>
        <w:kinsoku/>
        <w:wordWrap/>
        <w:overflowPunct/>
        <w:topLinePunct w:val="0"/>
        <w:autoSpaceDE/>
        <w:autoSpaceDN/>
        <w:bidi w:val="0"/>
        <w:adjustRightInd/>
        <w:snapToGrid w:val="0"/>
        <w:spacing w:line="600" w:lineRule="exact"/>
        <w:ind w:firstLine="642" w:firstLineChars="200"/>
        <w:jc w:val="both"/>
        <w:textAlignment w:val="auto"/>
        <w:rPr>
          <w:rFonts w:hint="eastAsia" w:ascii="仿宋" w:hAnsi="仿宋" w:eastAsia="仿宋" w:cs="仿宋"/>
          <w:color w:val="000000"/>
          <w:kern w:val="0"/>
          <w:sz w:val="32"/>
          <w:szCs w:val="32"/>
          <w:highlight w:val="none"/>
          <w:lang w:val="en-US" w:eastAsia="zh-CN"/>
        </w:rPr>
      </w:pPr>
      <w:r>
        <w:rPr>
          <w:rFonts w:hint="eastAsia" w:ascii="仿宋" w:hAnsi="仿宋" w:eastAsia="仿宋" w:cs="仿宋"/>
          <w:b/>
          <w:color w:val="000000"/>
          <w:kern w:val="0"/>
          <w:sz w:val="32"/>
          <w:szCs w:val="32"/>
          <w:highlight w:val="none"/>
        </w:rPr>
        <w:t>第</w:t>
      </w:r>
      <w:r>
        <w:rPr>
          <w:rFonts w:hint="eastAsia" w:ascii="仿宋" w:hAnsi="仿宋" w:eastAsia="仿宋" w:cs="仿宋"/>
          <w:b/>
          <w:color w:val="000000"/>
          <w:kern w:val="0"/>
          <w:sz w:val="32"/>
          <w:szCs w:val="32"/>
          <w:highlight w:val="none"/>
          <w:lang w:eastAsia="zh-CN"/>
        </w:rPr>
        <w:t>二十</w:t>
      </w:r>
      <w:r>
        <w:rPr>
          <w:rFonts w:hint="eastAsia" w:ascii="仿宋" w:hAnsi="仿宋" w:eastAsia="仿宋" w:cs="仿宋"/>
          <w:b/>
          <w:color w:val="000000"/>
          <w:kern w:val="0"/>
          <w:sz w:val="32"/>
          <w:szCs w:val="32"/>
          <w:highlight w:val="none"/>
          <w:lang w:val="en-US" w:eastAsia="zh-CN"/>
        </w:rPr>
        <w:t>六</w:t>
      </w:r>
      <w:r>
        <w:rPr>
          <w:rFonts w:hint="eastAsia" w:ascii="仿宋" w:hAnsi="仿宋" w:eastAsia="仿宋" w:cs="仿宋"/>
          <w:b/>
          <w:color w:val="000000"/>
          <w:kern w:val="0"/>
          <w:sz w:val="32"/>
          <w:szCs w:val="32"/>
          <w:highlight w:val="none"/>
        </w:rPr>
        <w:t xml:space="preserve">条 </w:t>
      </w:r>
      <w:r>
        <w:rPr>
          <w:rFonts w:hint="eastAsia" w:ascii="仿宋" w:hAnsi="仿宋" w:eastAsia="仿宋" w:cs="仿宋"/>
          <w:color w:val="000000"/>
          <w:kern w:val="0"/>
          <w:sz w:val="32"/>
          <w:szCs w:val="32"/>
          <w:highlight w:val="none"/>
        </w:rPr>
        <w:t>期货公司会员不得因委托其结算的境外特殊参与者、境外中介机构、客户等违约而不履行合约交割</w:t>
      </w:r>
      <w:r>
        <w:rPr>
          <w:rFonts w:hint="eastAsia" w:ascii="仿宋" w:hAnsi="仿宋" w:eastAsia="仿宋" w:cs="仿宋"/>
          <w:color w:val="000000"/>
          <w:kern w:val="0"/>
          <w:sz w:val="32"/>
          <w:szCs w:val="32"/>
          <w:highlight w:val="none"/>
          <w:lang w:val="en-US" w:eastAsia="zh-CN"/>
        </w:rPr>
        <w:t>义务</w:t>
      </w:r>
      <w:r>
        <w:rPr>
          <w:rFonts w:hint="eastAsia" w:ascii="仿宋" w:hAnsi="仿宋" w:eastAsia="仿宋" w:cs="仿宋"/>
          <w:color w:val="000000"/>
          <w:kern w:val="0"/>
          <w:sz w:val="32"/>
          <w:szCs w:val="32"/>
          <w:highlight w:val="none"/>
        </w:rPr>
        <w:t>。对不履行交割</w:t>
      </w:r>
      <w:r>
        <w:rPr>
          <w:rFonts w:hint="eastAsia" w:ascii="仿宋" w:hAnsi="仿宋" w:eastAsia="仿宋" w:cs="仿宋"/>
          <w:color w:val="000000"/>
          <w:kern w:val="0"/>
          <w:sz w:val="32"/>
          <w:szCs w:val="32"/>
          <w:highlight w:val="none"/>
          <w:lang w:val="en-US" w:eastAsia="zh-CN"/>
        </w:rPr>
        <w:t>义务</w:t>
      </w:r>
      <w:r>
        <w:rPr>
          <w:rFonts w:hint="eastAsia" w:ascii="仿宋" w:hAnsi="仿宋" w:eastAsia="仿宋" w:cs="仿宋"/>
          <w:color w:val="000000"/>
          <w:kern w:val="0"/>
          <w:sz w:val="32"/>
          <w:szCs w:val="32"/>
          <w:highlight w:val="none"/>
        </w:rPr>
        <w:t>的，交易所有权强制执行。</w:t>
      </w:r>
    </w:p>
    <w:p>
      <w:pPr>
        <w:keepNext w:val="0"/>
        <w:keepLines w:val="0"/>
        <w:pageBreakBefore w:val="0"/>
        <w:widowControl/>
        <w:kinsoku/>
        <w:wordWrap/>
        <w:overflowPunct/>
        <w:topLinePunct w:val="0"/>
        <w:autoSpaceDE/>
        <w:autoSpaceDN/>
        <w:bidi w:val="0"/>
        <w:adjustRightInd/>
        <w:snapToGrid w:val="0"/>
        <w:spacing w:before="0" w:after="0" w:line="600" w:lineRule="exact"/>
        <w:jc w:val="center"/>
        <w:textAlignment w:val="auto"/>
        <w:rPr>
          <w:rFonts w:hint="default" w:ascii="Times New Roman" w:hAnsi="Times New Roman" w:eastAsia="黑体" w:cs="Times New Roman"/>
          <w:color w:val="000000"/>
          <w:kern w:val="0"/>
          <w:sz w:val="32"/>
          <w:szCs w:val="32"/>
          <w:highlight w:val="none"/>
          <w:lang w:val="en-US" w:eastAsia="zh-CN"/>
        </w:rPr>
      </w:pPr>
      <w:r>
        <w:rPr>
          <w:rFonts w:hint="default" w:ascii="Times New Roman" w:hAnsi="Times New Roman" w:eastAsia="黑体" w:cs="Times New Roman"/>
          <w:color w:val="000000"/>
          <w:kern w:val="0"/>
          <w:sz w:val="32"/>
          <w:szCs w:val="32"/>
          <w:highlight w:val="none"/>
          <w:lang w:val="en-US" w:eastAsia="zh-CN"/>
        </w:rPr>
        <w:t>第五章 风险与责任</w:t>
      </w:r>
    </w:p>
    <w:p>
      <w:pPr>
        <w:keepNext w:val="0"/>
        <w:keepLines w:val="0"/>
        <w:pageBreakBefore w:val="0"/>
        <w:kinsoku/>
        <w:wordWrap/>
        <w:overflowPunct/>
        <w:topLinePunct w:val="0"/>
        <w:autoSpaceDE/>
        <w:autoSpaceDN/>
        <w:bidi w:val="0"/>
        <w:adjustRightInd/>
        <w:spacing w:line="600" w:lineRule="exact"/>
        <w:ind w:firstLine="642" w:firstLineChars="200"/>
        <w:jc w:val="both"/>
        <w:textAlignment w:val="auto"/>
        <w:rPr>
          <w:rFonts w:hint="eastAsia" w:ascii="仿宋" w:hAnsi="仿宋" w:eastAsia="仿宋" w:cs="仿宋"/>
          <w:color w:val="000000"/>
          <w:kern w:val="0"/>
          <w:sz w:val="32"/>
          <w:szCs w:val="32"/>
          <w:highlight w:val="none"/>
        </w:rPr>
      </w:pPr>
      <w:r>
        <w:rPr>
          <w:rFonts w:hint="eastAsia" w:ascii="仿宋" w:hAnsi="仿宋" w:eastAsia="仿宋" w:cs="仿宋"/>
          <w:b/>
          <w:sz w:val="32"/>
          <w:szCs w:val="32"/>
          <w:highlight w:val="none"/>
        </w:rPr>
        <w:t>第二十</w:t>
      </w:r>
      <w:r>
        <w:rPr>
          <w:rFonts w:hint="eastAsia" w:ascii="仿宋" w:hAnsi="仿宋" w:eastAsia="仿宋" w:cs="仿宋"/>
          <w:b/>
          <w:sz w:val="32"/>
          <w:szCs w:val="32"/>
          <w:highlight w:val="none"/>
          <w:lang w:val="en-US" w:eastAsia="zh-CN"/>
        </w:rPr>
        <w:t>七</w:t>
      </w:r>
      <w:r>
        <w:rPr>
          <w:rFonts w:hint="eastAsia" w:ascii="仿宋" w:hAnsi="仿宋" w:eastAsia="仿宋" w:cs="仿宋"/>
          <w:b/>
          <w:sz w:val="32"/>
          <w:szCs w:val="32"/>
          <w:highlight w:val="none"/>
        </w:rPr>
        <w:t xml:space="preserve">条 </w:t>
      </w:r>
      <w:r>
        <w:rPr>
          <w:rFonts w:hint="eastAsia" w:ascii="仿宋" w:hAnsi="仿宋" w:eastAsia="仿宋" w:cs="仿宋"/>
          <w:color w:val="000000"/>
          <w:kern w:val="0"/>
          <w:sz w:val="32"/>
          <w:szCs w:val="32"/>
          <w:highlight w:val="none"/>
        </w:rPr>
        <w:t>期货交易出现市场风险异常累积、市场风险急剧放大等异常情况的，交易所可以采取下列紧急措施，并立即报告中国证监会：</w:t>
      </w:r>
    </w:p>
    <w:p>
      <w:pPr>
        <w:keepNext w:val="0"/>
        <w:keepLines w:val="0"/>
        <w:pageBreakBefore w:val="0"/>
        <w:kinsoku/>
        <w:wordWrap/>
        <w:overflowPunct/>
        <w:topLinePunct w:val="0"/>
        <w:autoSpaceDE/>
        <w:autoSpaceDN/>
        <w:bidi w:val="0"/>
        <w:adjustRightInd/>
        <w:spacing w:line="600" w:lineRule="exact"/>
        <w:ind w:firstLine="640" w:firstLineChars="200"/>
        <w:jc w:val="both"/>
        <w:textAlignment w:val="auto"/>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（一）调整保证金；</w:t>
      </w:r>
    </w:p>
    <w:p>
      <w:pPr>
        <w:keepNext w:val="0"/>
        <w:keepLines w:val="0"/>
        <w:pageBreakBefore w:val="0"/>
        <w:kinsoku/>
        <w:wordWrap/>
        <w:overflowPunct/>
        <w:topLinePunct w:val="0"/>
        <w:autoSpaceDE/>
        <w:autoSpaceDN/>
        <w:bidi w:val="0"/>
        <w:adjustRightInd/>
        <w:spacing w:line="600" w:lineRule="exact"/>
        <w:ind w:firstLine="640" w:firstLineChars="200"/>
        <w:jc w:val="both"/>
        <w:textAlignment w:val="auto"/>
        <w:rPr>
          <w:rFonts w:hint="eastAsia" w:ascii="仿宋" w:hAnsi="仿宋" w:eastAsia="仿宋" w:cs="仿宋"/>
          <w:color w:val="000000"/>
          <w:kern w:val="0"/>
          <w:sz w:val="32"/>
          <w:szCs w:val="32"/>
          <w:highlight w:val="none"/>
          <w:lang w:eastAsia="zh-CN"/>
        </w:rPr>
      </w:pPr>
      <w:r>
        <w:rPr>
          <w:rFonts w:hint="eastAsia" w:ascii="仿宋" w:hAnsi="仿宋" w:eastAsia="仿宋" w:cs="仿宋"/>
          <w:color w:val="000000"/>
          <w:kern w:val="0"/>
          <w:sz w:val="32"/>
          <w:szCs w:val="32"/>
          <w:highlight w:val="none"/>
        </w:rPr>
        <w:t>（二）调整涨跌停板幅度</w:t>
      </w:r>
      <w:r>
        <w:rPr>
          <w:rFonts w:hint="eastAsia" w:ascii="仿宋" w:hAnsi="仿宋" w:eastAsia="仿宋" w:cs="仿宋"/>
          <w:color w:val="000000"/>
          <w:kern w:val="0"/>
          <w:sz w:val="32"/>
          <w:szCs w:val="32"/>
          <w:highlight w:val="none"/>
          <w:lang w:eastAsia="zh-CN"/>
        </w:rPr>
        <w:t>；</w:t>
      </w:r>
    </w:p>
    <w:p>
      <w:pPr>
        <w:keepNext w:val="0"/>
        <w:keepLines w:val="0"/>
        <w:pageBreakBefore w:val="0"/>
        <w:kinsoku/>
        <w:wordWrap/>
        <w:overflowPunct/>
        <w:topLinePunct w:val="0"/>
        <w:autoSpaceDE/>
        <w:autoSpaceDN/>
        <w:bidi w:val="0"/>
        <w:adjustRightInd/>
        <w:spacing w:line="600" w:lineRule="exact"/>
        <w:ind w:firstLine="640" w:firstLineChars="200"/>
        <w:jc w:val="both"/>
        <w:textAlignment w:val="auto"/>
        <w:rPr>
          <w:rFonts w:hint="eastAsia" w:ascii="仿宋" w:hAnsi="仿宋" w:eastAsia="仿宋" w:cs="仿宋"/>
          <w:color w:val="000000"/>
          <w:kern w:val="0"/>
          <w:sz w:val="32"/>
          <w:szCs w:val="32"/>
          <w:highlight w:val="none"/>
          <w:lang w:eastAsia="zh-CN"/>
        </w:rPr>
      </w:pPr>
      <w:r>
        <w:rPr>
          <w:rFonts w:hint="eastAsia" w:ascii="仿宋" w:hAnsi="仿宋" w:eastAsia="仿宋" w:cs="仿宋"/>
          <w:color w:val="000000"/>
          <w:kern w:val="0"/>
          <w:sz w:val="32"/>
          <w:szCs w:val="32"/>
          <w:highlight w:val="none"/>
          <w:lang w:eastAsia="zh-CN"/>
        </w:rPr>
        <w:t>（三）调整开收市时间；</w:t>
      </w:r>
    </w:p>
    <w:p>
      <w:pPr>
        <w:keepNext w:val="0"/>
        <w:keepLines w:val="0"/>
        <w:pageBreakBefore w:val="0"/>
        <w:kinsoku/>
        <w:wordWrap/>
        <w:overflowPunct/>
        <w:topLinePunct w:val="0"/>
        <w:autoSpaceDE/>
        <w:autoSpaceDN/>
        <w:bidi w:val="0"/>
        <w:adjustRightInd/>
        <w:spacing w:line="600" w:lineRule="exact"/>
        <w:ind w:firstLine="640" w:firstLineChars="200"/>
        <w:jc w:val="both"/>
        <w:textAlignment w:val="auto"/>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w:t>
      </w:r>
      <w:r>
        <w:rPr>
          <w:rFonts w:hint="eastAsia" w:ascii="仿宋" w:hAnsi="仿宋" w:eastAsia="仿宋" w:cs="仿宋"/>
          <w:color w:val="000000"/>
          <w:kern w:val="0"/>
          <w:sz w:val="32"/>
          <w:szCs w:val="32"/>
          <w:highlight w:val="none"/>
          <w:lang w:eastAsia="zh-CN"/>
        </w:rPr>
        <w:t>四</w:t>
      </w:r>
      <w:r>
        <w:rPr>
          <w:rFonts w:hint="eastAsia" w:ascii="仿宋" w:hAnsi="仿宋" w:eastAsia="仿宋" w:cs="仿宋"/>
          <w:color w:val="000000"/>
          <w:kern w:val="0"/>
          <w:sz w:val="32"/>
          <w:szCs w:val="32"/>
          <w:highlight w:val="none"/>
        </w:rPr>
        <w:t>）调整会员、</w:t>
      </w:r>
      <w:r>
        <w:rPr>
          <w:rFonts w:hint="eastAsia" w:ascii="仿宋" w:hAnsi="仿宋" w:eastAsia="仿宋" w:cs="仿宋"/>
          <w:color w:val="000000"/>
          <w:kern w:val="0"/>
          <w:sz w:val="32"/>
          <w:szCs w:val="32"/>
          <w:highlight w:val="none"/>
          <w:lang w:eastAsia="zh-CN"/>
        </w:rPr>
        <w:t>境外特殊参与者、</w:t>
      </w:r>
      <w:r>
        <w:rPr>
          <w:rFonts w:hint="eastAsia" w:ascii="仿宋" w:hAnsi="仿宋" w:eastAsia="仿宋" w:cs="仿宋"/>
          <w:color w:val="000000"/>
          <w:kern w:val="0"/>
          <w:sz w:val="32"/>
          <w:szCs w:val="32"/>
          <w:highlight w:val="none"/>
          <w:lang w:val="en-US" w:eastAsia="zh-CN"/>
        </w:rPr>
        <w:t>境外中介机构</w:t>
      </w:r>
      <w:r>
        <w:rPr>
          <w:rFonts w:hint="eastAsia" w:ascii="仿宋" w:hAnsi="仿宋" w:eastAsia="仿宋" w:cs="仿宋"/>
          <w:color w:val="000000"/>
          <w:kern w:val="0"/>
          <w:sz w:val="32"/>
          <w:szCs w:val="32"/>
          <w:highlight w:val="none"/>
          <w:lang w:eastAsia="zh-CN"/>
        </w:rPr>
        <w:t>或者客户</w:t>
      </w:r>
      <w:r>
        <w:rPr>
          <w:rFonts w:hint="eastAsia" w:ascii="仿宋" w:hAnsi="仿宋" w:eastAsia="仿宋" w:cs="仿宋"/>
          <w:color w:val="000000"/>
          <w:kern w:val="0"/>
          <w:sz w:val="32"/>
          <w:szCs w:val="32"/>
          <w:highlight w:val="none"/>
        </w:rPr>
        <w:t>的交易限额或持仓限额标准；</w:t>
      </w:r>
    </w:p>
    <w:p>
      <w:pPr>
        <w:keepNext w:val="0"/>
        <w:keepLines w:val="0"/>
        <w:pageBreakBefore w:val="0"/>
        <w:kinsoku/>
        <w:wordWrap/>
        <w:overflowPunct/>
        <w:topLinePunct w:val="0"/>
        <w:autoSpaceDE/>
        <w:autoSpaceDN/>
        <w:bidi w:val="0"/>
        <w:adjustRightInd/>
        <w:spacing w:line="600" w:lineRule="exact"/>
        <w:ind w:firstLine="640" w:firstLineChars="200"/>
        <w:jc w:val="both"/>
        <w:textAlignment w:val="auto"/>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w:t>
      </w:r>
      <w:r>
        <w:rPr>
          <w:rFonts w:hint="eastAsia" w:ascii="仿宋" w:hAnsi="仿宋" w:eastAsia="仿宋" w:cs="仿宋"/>
          <w:color w:val="000000"/>
          <w:kern w:val="0"/>
          <w:sz w:val="32"/>
          <w:szCs w:val="32"/>
          <w:highlight w:val="none"/>
          <w:lang w:eastAsia="zh-CN"/>
        </w:rPr>
        <w:t>五</w:t>
      </w:r>
      <w:r>
        <w:rPr>
          <w:rFonts w:hint="eastAsia" w:ascii="仿宋" w:hAnsi="仿宋" w:eastAsia="仿宋" w:cs="仿宋"/>
          <w:color w:val="000000"/>
          <w:kern w:val="0"/>
          <w:sz w:val="32"/>
          <w:szCs w:val="32"/>
          <w:highlight w:val="none"/>
        </w:rPr>
        <w:t>）限制开仓；</w:t>
      </w:r>
    </w:p>
    <w:p>
      <w:pPr>
        <w:keepNext w:val="0"/>
        <w:keepLines w:val="0"/>
        <w:pageBreakBefore w:val="0"/>
        <w:kinsoku/>
        <w:wordWrap/>
        <w:overflowPunct/>
        <w:topLinePunct w:val="0"/>
        <w:autoSpaceDE/>
        <w:autoSpaceDN/>
        <w:bidi w:val="0"/>
        <w:adjustRightInd/>
        <w:spacing w:line="600" w:lineRule="exact"/>
        <w:ind w:firstLine="640" w:firstLineChars="200"/>
        <w:jc w:val="both"/>
        <w:textAlignment w:val="auto"/>
        <w:rPr>
          <w:rFonts w:hint="eastAsia" w:ascii="仿宋" w:hAnsi="仿宋" w:eastAsia="仿宋" w:cs="仿宋"/>
          <w:color w:val="000000"/>
          <w:kern w:val="0"/>
          <w:sz w:val="32"/>
          <w:szCs w:val="32"/>
          <w:highlight w:val="none"/>
          <w:lang w:eastAsia="zh-CN"/>
        </w:rPr>
      </w:pPr>
      <w:r>
        <w:rPr>
          <w:rFonts w:hint="eastAsia" w:ascii="仿宋" w:hAnsi="仿宋" w:eastAsia="仿宋" w:cs="仿宋"/>
          <w:color w:val="000000"/>
          <w:kern w:val="0"/>
          <w:sz w:val="32"/>
          <w:szCs w:val="32"/>
          <w:highlight w:val="none"/>
          <w:lang w:eastAsia="zh-CN"/>
        </w:rPr>
        <w:t>（六）限制出金；</w:t>
      </w:r>
    </w:p>
    <w:p>
      <w:pPr>
        <w:keepNext w:val="0"/>
        <w:keepLines w:val="0"/>
        <w:pageBreakBefore w:val="0"/>
        <w:kinsoku/>
        <w:wordWrap/>
        <w:overflowPunct/>
        <w:topLinePunct w:val="0"/>
        <w:autoSpaceDE/>
        <w:autoSpaceDN/>
        <w:bidi w:val="0"/>
        <w:adjustRightInd/>
        <w:spacing w:line="600" w:lineRule="exact"/>
        <w:ind w:firstLine="640" w:firstLineChars="200"/>
        <w:jc w:val="both"/>
        <w:textAlignment w:val="auto"/>
        <w:rPr>
          <w:rFonts w:hint="eastAsia" w:ascii="仿宋" w:hAnsi="仿宋" w:eastAsia="仿宋" w:cs="仿宋"/>
          <w:color w:val="000000"/>
          <w:kern w:val="0"/>
          <w:sz w:val="32"/>
          <w:szCs w:val="32"/>
          <w:highlight w:val="none"/>
          <w:lang w:eastAsia="zh-CN"/>
        </w:rPr>
      </w:pPr>
      <w:r>
        <w:rPr>
          <w:rFonts w:hint="eastAsia" w:ascii="仿宋" w:hAnsi="仿宋" w:eastAsia="仿宋" w:cs="仿宋"/>
          <w:color w:val="000000"/>
          <w:kern w:val="0"/>
          <w:sz w:val="32"/>
          <w:szCs w:val="32"/>
          <w:highlight w:val="none"/>
          <w:lang w:eastAsia="zh-CN"/>
        </w:rPr>
        <w:t>（七）限期平仓；</w:t>
      </w:r>
    </w:p>
    <w:p>
      <w:pPr>
        <w:keepNext w:val="0"/>
        <w:keepLines w:val="0"/>
        <w:pageBreakBefore w:val="0"/>
        <w:kinsoku/>
        <w:wordWrap/>
        <w:overflowPunct/>
        <w:topLinePunct w:val="0"/>
        <w:autoSpaceDE/>
        <w:autoSpaceDN/>
        <w:bidi w:val="0"/>
        <w:adjustRightInd/>
        <w:spacing w:line="600" w:lineRule="exact"/>
        <w:ind w:firstLine="640" w:firstLineChars="200"/>
        <w:jc w:val="both"/>
        <w:textAlignment w:val="auto"/>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w:t>
      </w:r>
      <w:r>
        <w:rPr>
          <w:rFonts w:hint="eastAsia" w:ascii="仿宋" w:hAnsi="仿宋" w:eastAsia="仿宋" w:cs="仿宋"/>
          <w:color w:val="000000"/>
          <w:kern w:val="0"/>
          <w:sz w:val="32"/>
          <w:szCs w:val="32"/>
          <w:highlight w:val="none"/>
          <w:lang w:eastAsia="zh-CN"/>
        </w:rPr>
        <w:t>八</w:t>
      </w:r>
      <w:r>
        <w:rPr>
          <w:rFonts w:hint="eastAsia" w:ascii="仿宋" w:hAnsi="仿宋" w:eastAsia="仿宋" w:cs="仿宋"/>
          <w:color w:val="000000"/>
          <w:kern w:val="0"/>
          <w:sz w:val="32"/>
          <w:szCs w:val="32"/>
          <w:highlight w:val="none"/>
        </w:rPr>
        <w:t>）强行平仓；</w:t>
      </w:r>
    </w:p>
    <w:p>
      <w:pPr>
        <w:keepNext w:val="0"/>
        <w:keepLines w:val="0"/>
        <w:pageBreakBefore w:val="0"/>
        <w:kinsoku/>
        <w:wordWrap/>
        <w:overflowPunct/>
        <w:topLinePunct w:val="0"/>
        <w:autoSpaceDE/>
        <w:autoSpaceDN/>
        <w:bidi w:val="0"/>
        <w:adjustRightInd/>
        <w:spacing w:line="600" w:lineRule="exact"/>
        <w:ind w:firstLine="640" w:firstLineChars="200"/>
        <w:jc w:val="both"/>
        <w:textAlignment w:val="auto"/>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w:t>
      </w:r>
      <w:r>
        <w:rPr>
          <w:rFonts w:hint="eastAsia" w:ascii="仿宋" w:hAnsi="仿宋" w:eastAsia="仿宋" w:cs="仿宋"/>
          <w:color w:val="000000"/>
          <w:kern w:val="0"/>
          <w:sz w:val="32"/>
          <w:szCs w:val="32"/>
          <w:highlight w:val="none"/>
          <w:lang w:eastAsia="zh-CN"/>
        </w:rPr>
        <w:t>九</w:t>
      </w:r>
      <w:r>
        <w:rPr>
          <w:rFonts w:hint="eastAsia" w:ascii="仿宋" w:hAnsi="仿宋" w:eastAsia="仿宋" w:cs="仿宋"/>
          <w:color w:val="000000"/>
          <w:kern w:val="0"/>
          <w:sz w:val="32"/>
          <w:szCs w:val="32"/>
          <w:highlight w:val="none"/>
        </w:rPr>
        <w:t>）暂时停止交易；</w:t>
      </w:r>
    </w:p>
    <w:p>
      <w:pPr>
        <w:keepNext w:val="0"/>
        <w:keepLines w:val="0"/>
        <w:pageBreakBefore w:val="0"/>
        <w:kinsoku/>
        <w:wordWrap/>
        <w:overflowPunct/>
        <w:topLinePunct w:val="0"/>
        <w:autoSpaceDE/>
        <w:autoSpaceDN/>
        <w:bidi w:val="0"/>
        <w:adjustRightInd/>
        <w:spacing w:line="600" w:lineRule="exact"/>
        <w:ind w:firstLine="640" w:firstLineChars="200"/>
        <w:jc w:val="both"/>
        <w:textAlignment w:val="auto"/>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w:t>
      </w:r>
      <w:r>
        <w:rPr>
          <w:rFonts w:hint="eastAsia" w:ascii="仿宋" w:hAnsi="仿宋" w:eastAsia="仿宋" w:cs="仿宋"/>
          <w:color w:val="000000"/>
          <w:kern w:val="0"/>
          <w:sz w:val="32"/>
          <w:szCs w:val="32"/>
          <w:highlight w:val="none"/>
          <w:lang w:eastAsia="zh-CN"/>
        </w:rPr>
        <w:t>十</w:t>
      </w:r>
      <w:r>
        <w:rPr>
          <w:rFonts w:hint="eastAsia" w:ascii="仿宋" w:hAnsi="仿宋" w:eastAsia="仿宋" w:cs="仿宋"/>
          <w:color w:val="000000"/>
          <w:kern w:val="0"/>
          <w:sz w:val="32"/>
          <w:szCs w:val="32"/>
          <w:highlight w:val="none"/>
        </w:rPr>
        <w:t>）其他紧急措施。</w:t>
      </w:r>
    </w:p>
    <w:p>
      <w:pPr>
        <w:keepNext w:val="0"/>
        <w:keepLines w:val="0"/>
        <w:pageBreakBefore w:val="0"/>
        <w:kinsoku/>
        <w:wordWrap/>
        <w:overflowPunct/>
        <w:topLinePunct w:val="0"/>
        <w:autoSpaceDE/>
        <w:autoSpaceDN/>
        <w:bidi w:val="0"/>
        <w:adjustRightInd/>
        <w:spacing w:line="600" w:lineRule="exact"/>
        <w:ind w:firstLine="640" w:firstLineChars="200"/>
        <w:jc w:val="both"/>
        <w:textAlignment w:val="auto"/>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期货价格出现同方向连续涨跌停板的，交易所可以采取调整涨跌停板幅度、调整交易保证金、制定或调整交易限额、调整交易手续费、强行平仓、强制减仓等措施释放交易风险。</w:t>
      </w:r>
    </w:p>
    <w:p>
      <w:pPr>
        <w:keepNext w:val="0"/>
        <w:keepLines w:val="0"/>
        <w:pageBreakBefore w:val="0"/>
        <w:kinsoku/>
        <w:wordWrap/>
        <w:overflowPunct/>
        <w:topLinePunct w:val="0"/>
        <w:autoSpaceDE/>
        <w:autoSpaceDN/>
        <w:bidi w:val="0"/>
        <w:adjustRightInd/>
        <w:spacing w:line="600" w:lineRule="exact"/>
        <w:ind w:firstLine="640" w:firstLineChars="200"/>
        <w:jc w:val="both"/>
        <w:textAlignment w:val="auto"/>
        <w:rPr>
          <w:rFonts w:hint="eastAsia" w:ascii="仿宋" w:hAnsi="仿宋" w:eastAsia="仿宋" w:cs="仿宋"/>
          <w:b w:val="0"/>
          <w:bCs/>
          <w:color w:val="000000"/>
          <w:kern w:val="0"/>
          <w:sz w:val="32"/>
          <w:szCs w:val="32"/>
          <w:highlight w:val="none"/>
        </w:rPr>
      </w:pPr>
      <w:r>
        <w:rPr>
          <w:rFonts w:hint="eastAsia" w:ascii="仿宋" w:hAnsi="仿宋" w:eastAsia="仿宋" w:cs="仿宋"/>
          <w:b w:val="0"/>
          <w:bCs/>
          <w:sz w:val="32"/>
          <w:szCs w:val="32"/>
          <w:highlight w:val="none"/>
          <w:lang w:eastAsia="zh-CN"/>
        </w:rPr>
        <w:t>本条第一款、第二款规定的异常情况消失后，交易所应当及时取消紧急措施。</w:t>
      </w:r>
    </w:p>
    <w:p>
      <w:pPr>
        <w:keepNext w:val="0"/>
        <w:keepLines w:val="0"/>
        <w:pageBreakBefore w:val="0"/>
        <w:kinsoku/>
        <w:wordWrap/>
        <w:overflowPunct/>
        <w:topLinePunct w:val="0"/>
        <w:autoSpaceDE/>
        <w:autoSpaceDN/>
        <w:bidi w:val="0"/>
        <w:adjustRightInd/>
        <w:spacing w:line="600" w:lineRule="exact"/>
        <w:ind w:firstLine="642" w:firstLineChars="200"/>
        <w:jc w:val="both"/>
        <w:textAlignment w:val="auto"/>
        <w:rPr>
          <w:rFonts w:hint="eastAsia" w:ascii="仿宋" w:hAnsi="仿宋" w:eastAsia="仿宋" w:cs="仿宋"/>
          <w:color w:val="000000"/>
          <w:kern w:val="0"/>
          <w:sz w:val="32"/>
          <w:szCs w:val="32"/>
          <w:highlight w:val="none"/>
        </w:rPr>
      </w:pPr>
      <w:r>
        <w:rPr>
          <w:rFonts w:hint="eastAsia" w:ascii="仿宋" w:hAnsi="仿宋" w:eastAsia="仿宋" w:cs="仿宋"/>
          <w:b/>
          <w:sz w:val="32"/>
          <w:szCs w:val="32"/>
          <w:highlight w:val="none"/>
        </w:rPr>
        <w:t>第二十</w:t>
      </w:r>
      <w:r>
        <w:rPr>
          <w:rFonts w:hint="eastAsia" w:ascii="仿宋" w:hAnsi="仿宋" w:eastAsia="仿宋" w:cs="仿宋"/>
          <w:b/>
          <w:sz w:val="32"/>
          <w:szCs w:val="32"/>
          <w:highlight w:val="none"/>
          <w:lang w:val="en-US" w:eastAsia="zh-CN"/>
        </w:rPr>
        <w:t>八</w:t>
      </w:r>
      <w:r>
        <w:rPr>
          <w:rFonts w:hint="eastAsia" w:ascii="仿宋" w:hAnsi="仿宋" w:eastAsia="仿宋" w:cs="仿宋"/>
          <w:b/>
          <w:sz w:val="32"/>
          <w:szCs w:val="32"/>
          <w:highlight w:val="none"/>
        </w:rPr>
        <w:t xml:space="preserve">条 </w:t>
      </w:r>
      <w:r>
        <w:rPr>
          <w:rFonts w:hint="eastAsia" w:ascii="仿宋" w:hAnsi="仿宋" w:eastAsia="仿宋" w:cs="仿宋"/>
          <w:color w:val="000000"/>
          <w:kern w:val="0"/>
          <w:sz w:val="32"/>
          <w:szCs w:val="32"/>
          <w:highlight w:val="none"/>
        </w:rPr>
        <w:t>在期货交易过程中出现以下突发性事件影响期货交易正常秩序或市场公平的，交易所可以采取紧急措施化解风险，并应当及时向中国证监会报告：</w:t>
      </w:r>
    </w:p>
    <w:p>
      <w:pPr>
        <w:keepNext w:val="0"/>
        <w:keepLines w:val="0"/>
        <w:pageBreakBefore w:val="0"/>
        <w:kinsoku/>
        <w:wordWrap/>
        <w:overflowPunct/>
        <w:topLinePunct w:val="0"/>
        <w:autoSpaceDE/>
        <w:autoSpaceDN/>
        <w:bidi w:val="0"/>
        <w:adjustRightInd/>
        <w:spacing w:line="600" w:lineRule="exact"/>
        <w:ind w:firstLine="640" w:firstLineChars="200"/>
        <w:jc w:val="both"/>
        <w:textAlignment w:val="auto"/>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（一）因不可抗力、意外事件、重大技术故障、重大人为差错导致交易、结算、交割、行权与履约无法正常进行；</w:t>
      </w:r>
    </w:p>
    <w:p>
      <w:pPr>
        <w:keepNext w:val="0"/>
        <w:keepLines w:val="0"/>
        <w:pageBreakBefore w:val="0"/>
        <w:kinsoku/>
        <w:wordWrap/>
        <w:overflowPunct/>
        <w:topLinePunct w:val="0"/>
        <w:autoSpaceDE/>
        <w:autoSpaceDN/>
        <w:bidi w:val="0"/>
        <w:adjustRightInd/>
        <w:spacing w:line="600" w:lineRule="exact"/>
        <w:ind w:firstLine="640" w:firstLineChars="200"/>
        <w:jc w:val="both"/>
        <w:textAlignment w:val="auto"/>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（二）会员出现结算、交割危机，对市场正在产生或者即将产生重大影响；</w:t>
      </w:r>
    </w:p>
    <w:p>
      <w:pPr>
        <w:keepNext w:val="0"/>
        <w:keepLines w:val="0"/>
        <w:pageBreakBefore w:val="0"/>
        <w:kinsoku/>
        <w:wordWrap/>
        <w:overflowPunct/>
        <w:topLinePunct w:val="0"/>
        <w:autoSpaceDE/>
        <w:autoSpaceDN/>
        <w:bidi w:val="0"/>
        <w:adjustRightInd/>
        <w:spacing w:line="600" w:lineRule="exact"/>
        <w:ind w:firstLine="640" w:firstLineChars="200"/>
        <w:jc w:val="both"/>
        <w:textAlignment w:val="auto"/>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（三）出现本规则第二十</w:t>
      </w:r>
      <w:r>
        <w:rPr>
          <w:rFonts w:hint="eastAsia" w:ascii="仿宋" w:hAnsi="仿宋" w:eastAsia="仿宋" w:cs="仿宋"/>
          <w:color w:val="000000"/>
          <w:kern w:val="0"/>
          <w:sz w:val="32"/>
          <w:szCs w:val="32"/>
          <w:highlight w:val="none"/>
          <w:lang w:val="en-US" w:eastAsia="zh-CN"/>
        </w:rPr>
        <w:t>七</w:t>
      </w:r>
      <w:r>
        <w:rPr>
          <w:rFonts w:hint="eastAsia" w:ascii="仿宋" w:hAnsi="仿宋" w:eastAsia="仿宋" w:cs="仿宋"/>
          <w:color w:val="000000"/>
          <w:kern w:val="0"/>
          <w:sz w:val="32"/>
          <w:szCs w:val="32"/>
          <w:highlight w:val="none"/>
        </w:rPr>
        <w:t>条第二款规定的情形经采取相应措施后仍未化解风险；</w:t>
      </w:r>
    </w:p>
    <w:p>
      <w:pPr>
        <w:keepNext w:val="0"/>
        <w:keepLines w:val="0"/>
        <w:pageBreakBefore w:val="0"/>
        <w:kinsoku/>
        <w:wordWrap/>
        <w:overflowPunct/>
        <w:topLinePunct w:val="0"/>
        <w:autoSpaceDE/>
        <w:autoSpaceDN/>
        <w:bidi w:val="0"/>
        <w:adjustRightInd/>
        <w:spacing w:line="600" w:lineRule="exact"/>
        <w:ind w:firstLine="640" w:firstLineChars="200"/>
        <w:jc w:val="both"/>
        <w:textAlignment w:val="auto"/>
        <w:rPr>
          <w:rFonts w:hint="eastAsia"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（四）交易所规定的其他情形。</w:t>
      </w:r>
    </w:p>
    <w:p>
      <w:pPr>
        <w:keepNext w:val="0"/>
        <w:keepLines w:val="0"/>
        <w:pageBreakBefore w:val="0"/>
        <w:kinsoku/>
        <w:wordWrap/>
        <w:overflowPunct/>
        <w:topLinePunct w:val="0"/>
        <w:autoSpaceDE/>
        <w:autoSpaceDN/>
        <w:bidi w:val="0"/>
        <w:adjustRightInd/>
        <w:spacing w:line="600" w:lineRule="exact"/>
        <w:ind w:firstLine="642" w:firstLineChars="200"/>
        <w:jc w:val="both"/>
        <w:textAlignment w:val="auto"/>
        <w:rPr>
          <w:rFonts w:hint="eastAsia" w:ascii="仿宋" w:hAnsi="仿宋" w:eastAsia="仿宋" w:cs="仿宋"/>
          <w:sz w:val="32"/>
          <w:szCs w:val="32"/>
          <w:highlight w:val="none"/>
        </w:rPr>
      </w:pPr>
      <w:r>
        <w:rPr>
          <w:rFonts w:hint="eastAsia" w:ascii="仿宋" w:hAnsi="仿宋" w:eastAsia="仿宋" w:cs="仿宋"/>
          <w:b/>
          <w:sz w:val="32"/>
          <w:szCs w:val="32"/>
          <w:highlight w:val="none"/>
        </w:rPr>
        <w:t>第</w:t>
      </w:r>
      <w:r>
        <w:rPr>
          <w:rFonts w:hint="eastAsia" w:ascii="仿宋" w:hAnsi="仿宋" w:eastAsia="仿宋" w:cs="仿宋"/>
          <w:b/>
          <w:sz w:val="32"/>
          <w:szCs w:val="32"/>
          <w:highlight w:val="none"/>
          <w:lang w:val="en-US" w:eastAsia="zh-CN"/>
        </w:rPr>
        <w:t>二十九</w:t>
      </w:r>
      <w:r>
        <w:rPr>
          <w:rFonts w:hint="eastAsia" w:ascii="仿宋" w:hAnsi="仿宋" w:eastAsia="仿宋" w:cs="仿宋"/>
          <w:b/>
          <w:sz w:val="32"/>
          <w:szCs w:val="32"/>
          <w:highlight w:val="none"/>
        </w:rPr>
        <w:t>条</w:t>
      </w:r>
      <w:r>
        <w:rPr>
          <w:rFonts w:hint="eastAsia" w:ascii="仿宋" w:hAnsi="仿宋" w:eastAsia="仿宋" w:cs="仿宋"/>
          <w:sz w:val="32"/>
          <w:szCs w:val="32"/>
          <w:highlight w:val="none"/>
        </w:rPr>
        <w:t xml:space="preserve"> 期货公司会员对委托其结算的境外特殊参与者、境外中介机构和客户的期货交易承担履约责任，</w:t>
      </w:r>
      <w:r>
        <w:rPr>
          <w:rFonts w:hint="eastAsia" w:ascii="仿宋" w:hAnsi="仿宋" w:eastAsia="仿宋" w:cs="仿宋"/>
          <w:sz w:val="32"/>
          <w:szCs w:val="32"/>
          <w:highlight w:val="none"/>
          <w:lang w:val="en-US" w:eastAsia="zh-CN"/>
        </w:rPr>
        <w:t>在承担责任后，可以按照法律法规、规章及交易所规则向有关责任人追偿</w:t>
      </w:r>
      <w:r>
        <w:rPr>
          <w:rFonts w:hint="eastAsia" w:ascii="仿宋" w:hAnsi="仿宋" w:eastAsia="仿宋" w:cs="仿宋"/>
          <w:sz w:val="32"/>
          <w:szCs w:val="32"/>
          <w:highlight w:val="none"/>
        </w:rPr>
        <w:t>。</w:t>
      </w:r>
    </w:p>
    <w:p>
      <w:pPr>
        <w:keepNext w:val="0"/>
        <w:keepLines w:val="0"/>
        <w:pageBreakBefore w:val="0"/>
        <w:kinsoku/>
        <w:wordWrap/>
        <w:overflowPunct/>
        <w:topLinePunct w:val="0"/>
        <w:autoSpaceDE/>
        <w:autoSpaceDN/>
        <w:bidi w:val="0"/>
        <w:adjustRightInd/>
        <w:spacing w:line="600" w:lineRule="exact"/>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非期货公司会员、境外特殊非经纪参与者、客户对其从事的期货交易承担全部责任。</w:t>
      </w:r>
    </w:p>
    <w:p>
      <w:pPr>
        <w:keepNext w:val="0"/>
        <w:keepLines w:val="0"/>
        <w:pageBreakBefore w:val="0"/>
        <w:kinsoku/>
        <w:wordWrap/>
        <w:overflowPunct/>
        <w:topLinePunct w:val="0"/>
        <w:autoSpaceDE/>
        <w:autoSpaceDN/>
        <w:bidi w:val="0"/>
        <w:adjustRightInd/>
        <w:spacing w:line="600" w:lineRule="exact"/>
        <w:ind w:firstLine="642"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b/>
          <w:bCs/>
          <w:color w:val="auto"/>
          <w:sz w:val="32"/>
          <w:szCs w:val="32"/>
          <w:highlight w:val="none"/>
          <w:lang w:val="en-US" w:eastAsia="zh-CN"/>
        </w:rPr>
        <w:t>第三十条</w:t>
      </w:r>
      <w:r>
        <w:rPr>
          <w:rFonts w:hint="eastAsia" w:ascii="仿宋" w:hAnsi="仿宋" w:eastAsia="仿宋" w:cs="仿宋"/>
          <w:sz w:val="32"/>
          <w:szCs w:val="32"/>
          <w:highlight w:val="none"/>
          <w:lang w:val="en-US" w:eastAsia="zh-CN"/>
        </w:rPr>
        <w:t xml:space="preserve"> 会员无法履行合约时，交易所有权采取下列保障措施：</w:t>
      </w:r>
    </w:p>
    <w:p>
      <w:pPr>
        <w:keepNext w:val="0"/>
        <w:keepLines w:val="0"/>
        <w:pageBreakBefore w:val="0"/>
        <w:numPr>
          <w:ilvl w:val="0"/>
          <w:numId w:val="1"/>
        </w:numPr>
        <w:kinsoku/>
        <w:wordWrap/>
        <w:overflowPunct/>
        <w:topLinePunct w:val="0"/>
        <w:autoSpaceDE/>
        <w:autoSpaceDN/>
        <w:bidi w:val="0"/>
        <w:adjustRightInd/>
        <w:spacing w:line="600" w:lineRule="exact"/>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暂停开仓；</w:t>
      </w:r>
    </w:p>
    <w:p>
      <w:pPr>
        <w:keepNext w:val="0"/>
        <w:keepLines w:val="0"/>
        <w:pageBreakBefore w:val="0"/>
        <w:numPr>
          <w:ilvl w:val="0"/>
          <w:numId w:val="1"/>
        </w:numPr>
        <w:kinsoku/>
        <w:wordWrap/>
        <w:overflowPunct/>
        <w:topLinePunct w:val="0"/>
        <w:autoSpaceDE/>
        <w:autoSpaceDN/>
        <w:bidi w:val="0"/>
        <w:adjustRightInd/>
        <w:spacing w:line="600" w:lineRule="exact"/>
        <w:ind w:firstLine="640" w:firstLineChars="200"/>
        <w:jc w:val="both"/>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按规定强行平仓，并用平仓后释放的保证金履约赔偿；</w:t>
      </w:r>
    </w:p>
    <w:p>
      <w:pPr>
        <w:keepNext w:val="0"/>
        <w:keepLines w:val="0"/>
        <w:pageBreakBefore w:val="0"/>
        <w:numPr>
          <w:ilvl w:val="0"/>
          <w:numId w:val="1"/>
        </w:numPr>
        <w:kinsoku/>
        <w:wordWrap/>
        <w:overflowPunct/>
        <w:topLinePunct w:val="0"/>
        <w:autoSpaceDE/>
        <w:autoSpaceDN/>
        <w:bidi w:val="0"/>
        <w:adjustRightInd/>
        <w:spacing w:line="600" w:lineRule="exact"/>
        <w:ind w:firstLine="640" w:firstLineChars="200"/>
        <w:jc w:val="both"/>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依法处置作为保证金的资产；</w:t>
      </w:r>
    </w:p>
    <w:p>
      <w:pPr>
        <w:keepNext w:val="0"/>
        <w:keepLines w:val="0"/>
        <w:pageBreakBefore w:val="0"/>
        <w:numPr>
          <w:ilvl w:val="0"/>
          <w:numId w:val="1"/>
        </w:numPr>
        <w:kinsoku/>
        <w:wordWrap/>
        <w:overflowPunct/>
        <w:topLinePunct w:val="0"/>
        <w:autoSpaceDE/>
        <w:autoSpaceDN/>
        <w:bidi w:val="0"/>
        <w:adjustRightInd/>
        <w:spacing w:line="600" w:lineRule="exact"/>
        <w:ind w:firstLine="640" w:firstLineChars="200"/>
        <w:jc w:val="both"/>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动用交易所风险准备金；</w:t>
      </w:r>
    </w:p>
    <w:p>
      <w:pPr>
        <w:keepNext w:val="0"/>
        <w:keepLines w:val="0"/>
        <w:pageBreakBefore w:val="0"/>
        <w:numPr>
          <w:ilvl w:val="0"/>
          <w:numId w:val="1"/>
        </w:numPr>
        <w:kinsoku/>
        <w:wordWrap/>
        <w:overflowPunct/>
        <w:topLinePunct w:val="0"/>
        <w:autoSpaceDE/>
        <w:autoSpaceDN/>
        <w:bidi w:val="0"/>
        <w:adjustRightInd/>
        <w:spacing w:line="600" w:lineRule="exact"/>
        <w:ind w:firstLine="640" w:firstLineChars="200"/>
        <w:jc w:val="both"/>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动用交易所自有资金。</w:t>
      </w:r>
    </w:p>
    <w:p>
      <w:pPr>
        <w:keepNext w:val="0"/>
        <w:keepLines w:val="0"/>
        <w:pageBreakBefore w:val="0"/>
        <w:numPr>
          <w:ilvl w:val="0"/>
          <w:numId w:val="0"/>
        </w:numPr>
        <w:kinsoku/>
        <w:wordWrap/>
        <w:overflowPunct/>
        <w:topLinePunct w:val="0"/>
        <w:autoSpaceDE/>
        <w:autoSpaceDN/>
        <w:bidi w:val="0"/>
        <w:adjustRightInd/>
        <w:spacing w:line="600" w:lineRule="exact"/>
        <w:ind w:firstLine="640" w:firstLineChars="200"/>
        <w:jc w:val="both"/>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交易所采取前款第四项、第五项措施后，取得对违约会员的相应追偿权。</w:t>
      </w:r>
    </w:p>
    <w:p>
      <w:pPr>
        <w:keepNext w:val="0"/>
        <w:keepLines w:val="0"/>
        <w:pageBreakBefore w:val="0"/>
        <w:kinsoku/>
        <w:wordWrap/>
        <w:overflowPunct/>
        <w:topLinePunct w:val="0"/>
        <w:autoSpaceDE/>
        <w:autoSpaceDN/>
        <w:bidi w:val="0"/>
        <w:adjustRightInd/>
        <w:spacing w:line="600" w:lineRule="exact"/>
        <w:ind w:firstLine="642" w:firstLineChars="200"/>
        <w:jc w:val="both"/>
        <w:textAlignment w:val="auto"/>
        <w:rPr>
          <w:rFonts w:hint="eastAsia" w:ascii="仿宋" w:hAnsi="仿宋" w:eastAsia="仿宋" w:cs="仿宋"/>
          <w:color w:val="000000"/>
          <w:kern w:val="0"/>
          <w:sz w:val="32"/>
          <w:szCs w:val="32"/>
          <w:highlight w:val="none"/>
        </w:rPr>
      </w:pPr>
      <w:r>
        <w:rPr>
          <w:rFonts w:hint="eastAsia" w:ascii="仿宋" w:hAnsi="仿宋" w:eastAsia="仿宋" w:cs="仿宋"/>
          <w:b/>
          <w:sz w:val="32"/>
          <w:szCs w:val="32"/>
          <w:highlight w:val="none"/>
        </w:rPr>
        <w:t>第</w:t>
      </w:r>
      <w:r>
        <w:rPr>
          <w:rFonts w:hint="eastAsia" w:ascii="仿宋" w:hAnsi="仿宋" w:eastAsia="仿宋" w:cs="仿宋"/>
          <w:b/>
          <w:sz w:val="32"/>
          <w:szCs w:val="32"/>
          <w:highlight w:val="none"/>
          <w:lang w:eastAsia="zh-CN"/>
        </w:rPr>
        <w:t>三十</w:t>
      </w:r>
      <w:r>
        <w:rPr>
          <w:rFonts w:hint="eastAsia" w:ascii="仿宋" w:hAnsi="仿宋" w:eastAsia="仿宋" w:cs="仿宋"/>
          <w:b/>
          <w:sz w:val="32"/>
          <w:szCs w:val="32"/>
          <w:highlight w:val="none"/>
          <w:lang w:val="en-US" w:eastAsia="zh-CN"/>
        </w:rPr>
        <w:t>一</w:t>
      </w:r>
      <w:r>
        <w:rPr>
          <w:rFonts w:hint="eastAsia" w:ascii="仿宋" w:hAnsi="仿宋" w:eastAsia="仿宋" w:cs="仿宋"/>
          <w:b/>
          <w:sz w:val="32"/>
          <w:szCs w:val="32"/>
          <w:highlight w:val="none"/>
        </w:rPr>
        <w:t>条</w:t>
      </w:r>
      <w:r>
        <w:rPr>
          <w:rFonts w:hint="eastAsia" w:ascii="仿宋" w:hAnsi="仿宋" w:eastAsia="仿宋" w:cs="仿宋"/>
          <w:sz w:val="32"/>
          <w:szCs w:val="32"/>
          <w:highlight w:val="none"/>
        </w:rPr>
        <w:t xml:space="preserve"> </w:t>
      </w:r>
      <w:r>
        <w:rPr>
          <w:rFonts w:hint="eastAsia" w:ascii="仿宋" w:hAnsi="仿宋" w:eastAsia="仿宋" w:cs="仿宋"/>
          <w:color w:val="000000"/>
          <w:kern w:val="0"/>
          <w:sz w:val="32"/>
          <w:szCs w:val="32"/>
          <w:highlight w:val="none"/>
        </w:rPr>
        <w:t>风险准备金是指由交易所设立，用于为维护期货市场正常运转提供财务担保和弥补因交易所不可预见风险带来的亏损的资金。一般风险准备金，是指从交易所税后利润中提取的，用于防范和处置交易所业务活动中的风险、保证交易所发挥中央对手方作用、弥补尚未识别的可能性损失及亏损的专项资金。</w:t>
      </w:r>
    </w:p>
    <w:p>
      <w:pPr>
        <w:keepNext w:val="0"/>
        <w:keepLines w:val="0"/>
        <w:pageBreakBefore w:val="0"/>
        <w:kinsoku/>
        <w:wordWrap/>
        <w:overflowPunct/>
        <w:topLinePunct w:val="0"/>
        <w:autoSpaceDE/>
        <w:autoSpaceDN/>
        <w:bidi w:val="0"/>
        <w:adjustRightInd/>
        <w:spacing w:line="600" w:lineRule="exact"/>
        <w:ind w:firstLine="640" w:firstLineChars="200"/>
        <w:jc w:val="both"/>
        <w:textAlignment w:val="auto"/>
        <w:rPr>
          <w:rFonts w:hint="eastAsia" w:ascii="仿宋" w:hAnsi="仿宋" w:eastAsia="仿宋" w:cs="仿宋"/>
          <w:b/>
          <w:bCs/>
          <w:color w:val="000000"/>
          <w:kern w:val="0"/>
          <w:sz w:val="32"/>
          <w:szCs w:val="32"/>
          <w:highlight w:val="none"/>
          <w:lang w:eastAsia="zh-CN"/>
        </w:rPr>
      </w:pPr>
      <w:r>
        <w:rPr>
          <w:rFonts w:hint="eastAsia" w:ascii="仿宋" w:hAnsi="仿宋" w:eastAsia="仿宋" w:cs="仿宋"/>
          <w:color w:val="000000"/>
          <w:kern w:val="0"/>
          <w:sz w:val="32"/>
          <w:szCs w:val="32"/>
          <w:highlight w:val="none"/>
        </w:rPr>
        <w:t>交易所应当按有关规定提取、管理和使用风险准备金</w:t>
      </w:r>
      <w:r>
        <w:rPr>
          <w:rFonts w:hint="eastAsia" w:ascii="仿宋" w:hAnsi="仿宋" w:eastAsia="仿宋" w:cs="仿宋"/>
          <w:color w:val="000000"/>
          <w:kern w:val="0"/>
          <w:sz w:val="32"/>
          <w:szCs w:val="32"/>
          <w:highlight w:val="none"/>
          <w:lang w:val="en-US" w:eastAsia="zh-CN"/>
        </w:rPr>
        <w:t>和一般风险准备金</w:t>
      </w:r>
      <w:r>
        <w:rPr>
          <w:rFonts w:hint="eastAsia" w:ascii="仿宋" w:hAnsi="仿宋" w:eastAsia="仿宋" w:cs="仿宋"/>
          <w:color w:val="000000"/>
          <w:kern w:val="0"/>
          <w:sz w:val="32"/>
          <w:szCs w:val="32"/>
          <w:highlight w:val="none"/>
        </w:rPr>
        <w:t>。</w:t>
      </w:r>
    </w:p>
    <w:p>
      <w:pPr>
        <w:keepNext w:val="0"/>
        <w:keepLines w:val="0"/>
        <w:pageBreakBefore w:val="0"/>
        <w:widowControl/>
        <w:kinsoku/>
        <w:wordWrap/>
        <w:overflowPunct/>
        <w:topLinePunct w:val="0"/>
        <w:autoSpaceDE/>
        <w:autoSpaceDN/>
        <w:bidi w:val="0"/>
        <w:adjustRightInd/>
        <w:snapToGrid w:val="0"/>
        <w:spacing w:line="600" w:lineRule="exact"/>
        <w:ind w:firstLine="642" w:firstLineChars="200"/>
        <w:jc w:val="both"/>
        <w:textAlignment w:val="auto"/>
        <w:rPr>
          <w:rFonts w:hint="eastAsia" w:ascii="仿宋" w:hAnsi="仿宋" w:eastAsia="仿宋" w:cs="仿宋"/>
          <w:b/>
          <w:bCs/>
          <w:color w:val="000000"/>
          <w:kern w:val="0"/>
          <w:sz w:val="32"/>
          <w:szCs w:val="32"/>
          <w:highlight w:val="none"/>
          <w:lang w:eastAsia="zh-CN"/>
        </w:rPr>
      </w:pPr>
      <w:r>
        <w:rPr>
          <w:rFonts w:hint="eastAsia" w:ascii="仿宋" w:hAnsi="仿宋" w:eastAsia="仿宋" w:cs="仿宋"/>
          <w:b/>
          <w:sz w:val="32"/>
          <w:szCs w:val="32"/>
          <w:highlight w:val="none"/>
        </w:rPr>
        <w:t>第</w:t>
      </w:r>
      <w:r>
        <w:rPr>
          <w:rFonts w:hint="eastAsia" w:ascii="仿宋" w:hAnsi="仿宋" w:eastAsia="仿宋" w:cs="仿宋"/>
          <w:b/>
          <w:sz w:val="32"/>
          <w:szCs w:val="32"/>
          <w:highlight w:val="none"/>
          <w:lang w:eastAsia="zh-CN"/>
        </w:rPr>
        <w:t>三十</w:t>
      </w:r>
      <w:r>
        <w:rPr>
          <w:rFonts w:hint="eastAsia" w:ascii="仿宋" w:hAnsi="仿宋" w:eastAsia="仿宋" w:cs="仿宋"/>
          <w:b/>
          <w:sz w:val="32"/>
          <w:szCs w:val="32"/>
          <w:highlight w:val="none"/>
          <w:lang w:val="en-US" w:eastAsia="zh-CN"/>
        </w:rPr>
        <w:t>二</w:t>
      </w:r>
      <w:r>
        <w:rPr>
          <w:rFonts w:hint="eastAsia" w:ascii="仿宋" w:hAnsi="仿宋" w:eastAsia="仿宋" w:cs="仿宋"/>
          <w:b/>
          <w:sz w:val="32"/>
          <w:szCs w:val="32"/>
          <w:highlight w:val="none"/>
        </w:rPr>
        <w:t>条</w:t>
      </w:r>
      <w:r>
        <w:rPr>
          <w:rFonts w:hint="eastAsia" w:ascii="仿宋" w:hAnsi="仿宋" w:eastAsia="仿宋" w:cs="仿宋"/>
          <w:color w:val="000000"/>
          <w:kern w:val="0"/>
          <w:sz w:val="32"/>
          <w:szCs w:val="32"/>
          <w:highlight w:val="none"/>
        </w:rPr>
        <w:t xml:space="preserve"> 交易所组织期货交易结算，已经成交的交易指令、了结的期货交易持仓、收取的保证金和权利金、已经划转或者作为保证金的</w:t>
      </w:r>
      <w:r>
        <w:rPr>
          <w:rFonts w:hint="eastAsia" w:ascii="仿宋" w:hAnsi="仿宋" w:eastAsia="仿宋" w:cs="仿宋"/>
          <w:color w:val="000000"/>
          <w:kern w:val="0"/>
          <w:sz w:val="32"/>
          <w:szCs w:val="32"/>
          <w:highlight w:val="none"/>
          <w:lang w:val="en-US" w:eastAsia="zh-CN"/>
        </w:rPr>
        <w:t>资产</w:t>
      </w:r>
      <w:r>
        <w:rPr>
          <w:rFonts w:hint="eastAsia" w:ascii="仿宋" w:hAnsi="仿宋" w:eastAsia="仿宋" w:cs="仿宋"/>
          <w:color w:val="000000"/>
          <w:kern w:val="0"/>
          <w:sz w:val="32"/>
          <w:szCs w:val="32"/>
          <w:highlight w:val="none"/>
        </w:rPr>
        <w:t>、配对完成的标准仓单等交易、结算、交割、行权与履约行为或者财产的法律属性，以及采取的违约处理措施，不因会员进入破产程序而使得相关行为或者财产的法律属性被中止、撤销或者无效。</w:t>
      </w:r>
    </w:p>
    <w:p>
      <w:pPr>
        <w:keepNext w:val="0"/>
        <w:keepLines w:val="0"/>
        <w:pageBreakBefore w:val="0"/>
        <w:widowControl/>
        <w:kinsoku/>
        <w:wordWrap/>
        <w:overflowPunct/>
        <w:topLinePunct w:val="0"/>
        <w:autoSpaceDE/>
        <w:autoSpaceDN/>
        <w:bidi w:val="0"/>
        <w:adjustRightInd/>
        <w:snapToGrid w:val="0"/>
        <w:spacing w:line="600" w:lineRule="exact"/>
        <w:ind w:firstLine="642" w:firstLineChars="200"/>
        <w:jc w:val="both"/>
        <w:textAlignment w:val="auto"/>
        <w:rPr>
          <w:rFonts w:hint="eastAsia" w:ascii="仿宋" w:hAnsi="仿宋" w:eastAsia="仿宋" w:cs="仿宋"/>
          <w:color w:val="000000"/>
          <w:kern w:val="0"/>
          <w:sz w:val="32"/>
          <w:szCs w:val="32"/>
          <w:highlight w:val="none"/>
        </w:rPr>
      </w:pPr>
      <w:r>
        <w:rPr>
          <w:rFonts w:hint="eastAsia" w:ascii="仿宋" w:hAnsi="仿宋" w:eastAsia="仿宋" w:cs="仿宋"/>
          <w:b/>
          <w:sz w:val="32"/>
          <w:szCs w:val="32"/>
          <w:highlight w:val="none"/>
        </w:rPr>
        <w:t>第</w:t>
      </w:r>
      <w:r>
        <w:rPr>
          <w:rFonts w:hint="eastAsia" w:ascii="仿宋" w:hAnsi="仿宋" w:eastAsia="仿宋" w:cs="仿宋"/>
          <w:b/>
          <w:sz w:val="32"/>
          <w:szCs w:val="32"/>
          <w:highlight w:val="none"/>
          <w:lang w:eastAsia="zh-CN"/>
        </w:rPr>
        <w:t>三十</w:t>
      </w:r>
      <w:r>
        <w:rPr>
          <w:rFonts w:hint="eastAsia" w:ascii="仿宋" w:hAnsi="仿宋" w:eastAsia="仿宋" w:cs="仿宋"/>
          <w:b/>
          <w:sz w:val="32"/>
          <w:szCs w:val="32"/>
          <w:highlight w:val="none"/>
          <w:lang w:val="en-US" w:eastAsia="zh-CN"/>
        </w:rPr>
        <w:t>三</w:t>
      </w:r>
      <w:r>
        <w:rPr>
          <w:rFonts w:hint="eastAsia" w:ascii="仿宋" w:hAnsi="仿宋" w:eastAsia="仿宋" w:cs="仿宋"/>
          <w:b/>
          <w:sz w:val="32"/>
          <w:szCs w:val="32"/>
          <w:highlight w:val="none"/>
        </w:rPr>
        <w:t>条</w:t>
      </w:r>
      <w:r>
        <w:rPr>
          <w:rFonts w:hint="eastAsia" w:ascii="仿宋" w:hAnsi="仿宋" w:eastAsia="仿宋" w:cs="仿宋"/>
          <w:color w:val="000000"/>
          <w:kern w:val="0"/>
          <w:sz w:val="32"/>
          <w:szCs w:val="32"/>
          <w:highlight w:val="none"/>
        </w:rPr>
        <w:t xml:space="preserve"> 会员进入破产程序，交易所可以按照业务规则，对会员未了结的合约进行净额结算。</w:t>
      </w:r>
    </w:p>
    <w:p>
      <w:pPr>
        <w:keepNext w:val="0"/>
        <w:keepLines w:val="0"/>
        <w:pageBreakBefore w:val="0"/>
        <w:widowControl/>
        <w:kinsoku/>
        <w:wordWrap/>
        <w:overflowPunct/>
        <w:topLinePunct w:val="0"/>
        <w:autoSpaceDE/>
        <w:autoSpaceDN/>
        <w:bidi w:val="0"/>
        <w:adjustRightInd/>
        <w:snapToGrid w:val="0"/>
        <w:spacing w:line="600" w:lineRule="exact"/>
        <w:ind w:firstLine="642" w:firstLineChars="200"/>
        <w:jc w:val="both"/>
        <w:textAlignment w:val="auto"/>
        <w:rPr>
          <w:rFonts w:hint="eastAsia" w:ascii="仿宋" w:hAnsi="仿宋" w:eastAsia="仿宋" w:cs="仿宋"/>
          <w:color w:val="000000"/>
          <w:kern w:val="0"/>
          <w:sz w:val="32"/>
          <w:szCs w:val="32"/>
          <w:highlight w:val="none"/>
        </w:rPr>
      </w:pPr>
      <w:r>
        <w:rPr>
          <w:rFonts w:hint="eastAsia" w:ascii="仿宋" w:hAnsi="仿宋" w:eastAsia="仿宋" w:cs="仿宋"/>
          <w:b/>
          <w:sz w:val="32"/>
          <w:szCs w:val="32"/>
          <w:highlight w:val="none"/>
        </w:rPr>
        <w:t>第</w:t>
      </w:r>
      <w:r>
        <w:rPr>
          <w:rFonts w:hint="eastAsia" w:ascii="仿宋" w:hAnsi="仿宋" w:eastAsia="仿宋" w:cs="仿宋"/>
          <w:b/>
          <w:sz w:val="32"/>
          <w:szCs w:val="32"/>
          <w:highlight w:val="none"/>
          <w:lang w:eastAsia="zh-CN"/>
        </w:rPr>
        <w:t>三十</w:t>
      </w:r>
      <w:r>
        <w:rPr>
          <w:rFonts w:hint="eastAsia" w:ascii="仿宋" w:hAnsi="仿宋" w:eastAsia="仿宋" w:cs="仿宋"/>
          <w:b/>
          <w:sz w:val="32"/>
          <w:szCs w:val="32"/>
          <w:highlight w:val="none"/>
          <w:lang w:val="en-US" w:eastAsia="zh-CN"/>
        </w:rPr>
        <w:t>四</w:t>
      </w:r>
      <w:r>
        <w:rPr>
          <w:rFonts w:hint="eastAsia" w:ascii="仿宋" w:hAnsi="仿宋" w:eastAsia="仿宋" w:cs="仿宋"/>
          <w:b/>
          <w:sz w:val="32"/>
          <w:szCs w:val="32"/>
          <w:highlight w:val="none"/>
        </w:rPr>
        <w:t>条</w:t>
      </w:r>
      <w:r>
        <w:rPr>
          <w:rFonts w:hint="eastAsia" w:ascii="仿宋" w:hAnsi="仿宋" w:eastAsia="仿宋" w:cs="仿宋"/>
          <w:color w:val="000000"/>
          <w:kern w:val="0"/>
          <w:sz w:val="32"/>
          <w:szCs w:val="32"/>
          <w:highlight w:val="none"/>
        </w:rPr>
        <w:t xml:space="preserve"> </w:t>
      </w:r>
      <w:r>
        <w:rPr>
          <w:rFonts w:hint="eastAsia" w:ascii="仿宋" w:hAnsi="仿宋" w:eastAsia="仿宋" w:cs="仿宋"/>
          <w:color w:val="000000"/>
          <w:kern w:val="0"/>
          <w:sz w:val="32"/>
          <w:szCs w:val="32"/>
          <w:highlight w:val="none"/>
          <w:lang w:eastAsia="zh-CN"/>
        </w:rPr>
        <w:t>期货保证金</w:t>
      </w:r>
      <w:r>
        <w:rPr>
          <w:rFonts w:hint="eastAsia" w:ascii="仿宋" w:hAnsi="仿宋" w:eastAsia="仿宋" w:cs="仿宋"/>
          <w:color w:val="000000"/>
          <w:kern w:val="0"/>
          <w:sz w:val="32"/>
          <w:szCs w:val="32"/>
          <w:highlight w:val="none"/>
        </w:rPr>
        <w:t>存管</w:t>
      </w:r>
      <w:r>
        <w:rPr>
          <w:rFonts w:hint="eastAsia" w:ascii="仿宋" w:hAnsi="仿宋" w:eastAsia="仿宋" w:cs="仿宋"/>
          <w:color w:val="000000"/>
          <w:kern w:val="0"/>
          <w:sz w:val="32"/>
          <w:szCs w:val="32"/>
          <w:highlight w:val="none"/>
          <w:lang w:eastAsia="zh-CN"/>
        </w:rPr>
        <w:t>机构</w:t>
      </w:r>
      <w:r>
        <w:rPr>
          <w:rFonts w:hint="eastAsia" w:ascii="仿宋" w:hAnsi="仿宋" w:eastAsia="仿宋" w:cs="仿宋"/>
          <w:color w:val="000000"/>
          <w:kern w:val="0"/>
          <w:sz w:val="32"/>
          <w:szCs w:val="32"/>
          <w:highlight w:val="none"/>
        </w:rPr>
        <w:t>发生破产或者其他债权债务纠纷的，保证金、权利金等不属于其破产财产，不属于被查封、冻结、扣押或者强制执行的财产范围。</w:t>
      </w:r>
    </w:p>
    <w:p>
      <w:pPr>
        <w:keepNext w:val="0"/>
        <w:keepLines w:val="0"/>
        <w:pageBreakBefore w:val="0"/>
        <w:widowControl/>
        <w:kinsoku/>
        <w:wordWrap/>
        <w:overflowPunct/>
        <w:topLinePunct w:val="0"/>
        <w:autoSpaceDE/>
        <w:autoSpaceDN/>
        <w:bidi w:val="0"/>
        <w:adjustRightInd/>
        <w:snapToGrid w:val="0"/>
        <w:spacing w:line="600" w:lineRule="exact"/>
        <w:ind w:firstLine="642" w:firstLineChars="200"/>
        <w:jc w:val="both"/>
        <w:textAlignment w:val="auto"/>
        <w:rPr>
          <w:rFonts w:hint="eastAsia" w:ascii="仿宋" w:hAnsi="仿宋" w:eastAsia="仿宋" w:cs="仿宋"/>
          <w:color w:val="000000"/>
          <w:kern w:val="0"/>
          <w:sz w:val="32"/>
          <w:szCs w:val="32"/>
          <w:highlight w:val="none"/>
          <w:lang w:eastAsia="zh-CN"/>
        </w:rPr>
      </w:pPr>
      <w:r>
        <w:rPr>
          <w:rFonts w:hint="eastAsia" w:ascii="仿宋" w:hAnsi="仿宋" w:eastAsia="仿宋" w:cs="仿宋"/>
          <w:b/>
          <w:bCs/>
          <w:color w:val="000000"/>
          <w:kern w:val="0"/>
          <w:sz w:val="32"/>
          <w:szCs w:val="32"/>
          <w:highlight w:val="none"/>
        </w:rPr>
        <w:t>第三十</w:t>
      </w:r>
      <w:r>
        <w:rPr>
          <w:rFonts w:hint="eastAsia" w:ascii="仿宋" w:hAnsi="仿宋" w:eastAsia="仿宋" w:cs="仿宋"/>
          <w:b/>
          <w:bCs/>
          <w:color w:val="000000"/>
          <w:kern w:val="0"/>
          <w:sz w:val="32"/>
          <w:szCs w:val="32"/>
          <w:highlight w:val="none"/>
          <w:lang w:val="en-US" w:eastAsia="zh-CN"/>
        </w:rPr>
        <w:t>五</w:t>
      </w:r>
      <w:r>
        <w:rPr>
          <w:rFonts w:hint="eastAsia" w:ascii="仿宋" w:hAnsi="仿宋" w:eastAsia="仿宋" w:cs="仿宋"/>
          <w:b/>
          <w:bCs/>
          <w:color w:val="000000"/>
          <w:kern w:val="0"/>
          <w:sz w:val="32"/>
          <w:szCs w:val="32"/>
          <w:highlight w:val="none"/>
        </w:rPr>
        <w:t>条</w:t>
      </w:r>
      <w:r>
        <w:rPr>
          <w:rFonts w:hint="eastAsia" w:ascii="仿宋" w:hAnsi="仿宋" w:eastAsia="仿宋" w:cs="仿宋"/>
          <w:color w:val="000000"/>
          <w:kern w:val="0"/>
          <w:sz w:val="32"/>
          <w:szCs w:val="32"/>
          <w:highlight w:val="none"/>
        </w:rPr>
        <w:t xml:space="preserve"> 交割库发生破产或者其他债权债务纠纷的，期货市场参与者存放的非交割库所有的期货商品，不属于交割库的破产财产，不属于被查封、冻结、扣押或者强制执行的财产范围。</w:t>
      </w:r>
    </w:p>
    <w:p>
      <w:pPr>
        <w:keepNext w:val="0"/>
        <w:keepLines w:val="0"/>
        <w:pageBreakBefore w:val="0"/>
        <w:widowControl/>
        <w:kinsoku/>
        <w:wordWrap/>
        <w:overflowPunct/>
        <w:topLinePunct w:val="0"/>
        <w:autoSpaceDE/>
        <w:autoSpaceDN/>
        <w:bidi w:val="0"/>
        <w:adjustRightInd/>
        <w:snapToGrid w:val="0"/>
        <w:spacing w:before="0" w:after="0" w:line="600" w:lineRule="exact"/>
        <w:jc w:val="center"/>
        <w:textAlignment w:val="auto"/>
        <w:rPr>
          <w:rFonts w:hint="default" w:ascii="Times New Roman" w:hAnsi="Times New Roman" w:eastAsia="仿宋_GB2312" w:cs="Times New Roman"/>
          <w:b/>
          <w:color w:val="000000"/>
          <w:kern w:val="0"/>
          <w:sz w:val="32"/>
          <w:szCs w:val="32"/>
          <w:highlight w:val="none"/>
          <w:lang w:eastAsia="zh-CN"/>
        </w:rPr>
      </w:pPr>
      <w:r>
        <w:rPr>
          <w:rFonts w:hint="default" w:ascii="Times New Roman" w:hAnsi="Times New Roman" w:eastAsia="黑体" w:cs="Times New Roman"/>
          <w:color w:val="000000"/>
          <w:kern w:val="0"/>
          <w:sz w:val="32"/>
          <w:szCs w:val="32"/>
          <w:highlight w:val="none"/>
          <w:lang w:val="en-US" w:eastAsia="zh-CN"/>
        </w:rPr>
        <w:t>第六章 附则</w:t>
      </w:r>
    </w:p>
    <w:p>
      <w:pPr>
        <w:keepNext w:val="0"/>
        <w:keepLines w:val="0"/>
        <w:pageBreakBefore w:val="0"/>
        <w:widowControl/>
        <w:kinsoku/>
        <w:wordWrap/>
        <w:overflowPunct/>
        <w:topLinePunct w:val="0"/>
        <w:autoSpaceDE/>
        <w:autoSpaceDN/>
        <w:bidi w:val="0"/>
        <w:adjustRightInd/>
        <w:snapToGrid w:val="0"/>
        <w:spacing w:line="600" w:lineRule="exact"/>
        <w:ind w:firstLine="642" w:firstLineChars="200"/>
        <w:jc w:val="both"/>
        <w:textAlignment w:val="auto"/>
        <w:rPr>
          <w:rFonts w:hint="eastAsia" w:ascii="仿宋" w:hAnsi="仿宋" w:eastAsia="仿宋" w:cs="仿宋"/>
          <w:color w:val="000000"/>
          <w:kern w:val="0"/>
          <w:sz w:val="32"/>
          <w:szCs w:val="32"/>
          <w:highlight w:val="none"/>
        </w:rPr>
      </w:pPr>
      <w:r>
        <w:rPr>
          <w:rFonts w:hint="eastAsia" w:ascii="仿宋" w:hAnsi="仿宋" w:eastAsia="仿宋" w:cs="仿宋"/>
          <w:b/>
          <w:color w:val="000000"/>
          <w:kern w:val="0"/>
          <w:sz w:val="32"/>
          <w:szCs w:val="32"/>
          <w:highlight w:val="none"/>
        </w:rPr>
        <w:t>第三十</w:t>
      </w:r>
      <w:r>
        <w:rPr>
          <w:rFonts w:hint="eastAsia" w:ascii="仿宋" w:hAnsi="仿宋" w:eastAsia="仿宋" w:cs="仿宋"/>
          <w:b/>
          <w:color w:val="000000"/>
          <w:kern w:val="0"/>
          <w:sz w:val="32"/>
          <w:szCs w:val="32"/>
          <w:highlight w:val="none"/>
          <w:lang w:val="en-US" w:eastAsia="zh-CN"/>
        </w:rPr>
        <w:t>六</w:t>
      </w:r>
      <w:r>
        <w:rPr>
          <w:rFonts w:hint="eastAsia" w:ascii="仿宋" w:hAnsi="仿宋" w:eastAsia="仿宋" w:cs="仿宋"/>
          <w:b/>
          <w:color w:val="000000"/>
          <w:kern w:val="0"/>
          <w:sz w:val="32"/>
          <w:szCs w:val="32"/>
          <w:highlight w:val="none"/>
        </w:rPr>
        <w:t xml:space="preserve">条 </w:t>
      </w:r>
      <w:r>
        <w:rPr>
          <w:rFonts w:hint="eastAsia" w:ascii="仿宋" w:hAnsi="仿宋" w:eastAsia="仿宋" w:cs="仿宋"/>
          <w:color w:val="000000"/>
          <w:kern w:val="0"/>
          <w:sz w:val="32"/>
          <w:szCs w:val="32"/>
          <w:highlight w:val="none"/>
        </w:rPr>
        <w:t>本规则的制定和修改应当由交易所会员大会通过，报中国证监会批准。</w:t>
      </w:r>
    </w:p>
    <w:p>
      <w:pPr>
        <w:keepNext w:val="0"/>
        <w:keepLines w:val="0"/>
        <w:pageBreakBefore w:val="0"/>
        <w:widowControl/>
        <w:kinsoku/>
        <w:wordWrap/>
        <w:overflowPunct/>
        <w:topLinePunct w:val="0"/>
        <w:autoSpaceDE/>
        <w:autoSpaceDN/>
        <w:bidi w:val="0"/>
        <w:adjustRightInd/>
        <w:snapToGrid w:val="0"/>
        <w:spacing w:line="600" w:lineRule="exact"/>
        <w:ind w:firstLine="642" w:firstLineChars="200"/>
        <w:jc w:val="both"/>
        <w:textAlignment w:val="auto"/>
        <w:rPr>
          <w:rFonts w:hint="eastAsia" w:ascii="仿宋" w:hAnsi="仿宋" w:eastAsia="仿宋" w:cs="仿宋"/>
          <w:color w:val="000000"/>
          <w:kern w:val="0"/>
          <w:sz w:val="32"/>
          <w:szCs w:val="32"/>
          <w:highlight w:val="none"/>
        </w:rPr>
      </w:pPr>
      <w:r>
        <w:rPr>
          <w:rFonts w:hint="eastAsia" w:ascii="仿宋" w:hAnsi="仿宋" w:eastAsia="仿宋" w:cs="仿宋"/>
          <w:b/>
          <w:color w:val="000000"/>
          <w:kern w:val="0"/>
          <w:sz w:val="32"/>
          <w:szCs w:val="32"/>
          <w:highlight w:val="none"/>
        </w:rPr>
        <w:t>第</w:t>
      </w:r>
      <w:r>
        <w:rPr>
          <w:rFonts w:hint="eastAsia" w:ascii="仿宋" w:hAnsi="仿宋" w:eastAsia="仿宋" w:cs="仿宋"/>
          <w:b/>
          <w:color w:val="000000"/>
          <w:kern w:val="0"/>
          <w:sz w:val="32"/>
          <w:szCs w:val="32"/>
          <w:highlight w:val="none"/>
          <w:lang w:eastAsia="zh-CN"/>
        </w:rPr>
        <w:t>三十</w:t>
      </w:r>
      <w:r>
        <w:rPr>
          <w:rFonts w:hint="eastAsia" w:ascii="仿宋" w:hAnsi="仿宋" w:eastAsia="仿宋" w:cs="仿宋"/>
          <w:b/>
          <w:color w:val="000000"/>
          <w:kern w:val="0"/>
          <w:sz w:val="32"/>
          <w:szCs w:val="32"/>
          <w:highlight w:val="none"/>
          <w:lang w:val="en-US" w:eastAsia="zh-CN"/>
        </w:rPr>
        <w:t>七</w:t>
      </w:r>
      <w:r>
        <w:rPr>
          <w:rFonts w:hint="eastAsia" w:ascii="仿宋" w:hAnsi="仿宋" w:eastAsia="仿宋" w:cs="仿宋"/>
          <w:b/>
          <w:color w:val="000000"/>
          <w:kern w:val="0"/>
          <w:sz w:val="32"/>
          <w:szCs w:val="32"/>
          <w:highlight w:val="none"/>
        </w:rPr>
        <w:t xml:space="preserve">条 </w:t>
      </w:r>
      <w:r>
        <w:rPr>
          <w:rFonts w:hint="eastAsia" w:ascii="仿宋" w:hAnsi="仿宋" w:eastAsia="仿宋" w:cs="仿宋"/>
          <w:color w:val="000000"/>
          <w:kern w:val="0"/>
          <w:sz w:val="32"/>
          <w:szCs w:val="32"/>
          <w:highlight w:val="none"/>
        </w:rPr>
        <w:t>交易所可以根据本规则制定实施细则。</w:t>
      </w:r>
    </w:p>
    <w:p>
      <w:pPr>
        <w:keepNext w:val="0"/>
        <w:keepLines w:val="0"/>
        <w:pageBreakBefore w:val="0"/>
        <w:widowControl/>
        <w:kinsoku/>
        <w:wordWrap/>
        <w:overflowPunct/>
        <w:topLinePunct w:val="0"/>
        <w:autoSpaceDE/>
        <w:autoSpaceDN/>
        <w:bidi w:val="0"/>
        <w:adjustRightInd/>
        <w:snapToGrid w:val="0"/>
        <w:spacing w:line="600" w:lineRule="exact"/>
        <w:ind w:firstLine="642" w:firstLineChars="200"/>
        <w:jc w:val="both"/>
        <w:textAlignment w:val="auto"/>
        <w:rPr>
          <w:rFonts w:hint="default" w:ascii="仿宋" w:hAnsi="仿宋" w:eastAsia="仿宋" w:cs="仿宋"/>
          <w:color w:val="000000"/>
          <w:kern w:val="0"/>
          <w:sz w:val="32"/>
          <w:szCs w:val="32"/>
          <w:highlight w:val="none"/>
          <w:lang w:val="en-US" w:eastAsia="zh-CN"/>
        </w:rPr>
      </w:pPr>
      <w:r>
        <w:rPr>
          <w:rFonts w:hint="eastAsia" w:ascii="仿宋" w:hAnsi="仿宋" w:eastAsia="仿宋" w:cs="仿宋"/>
          <w:b/>
          <w:bCs/>
          <w:color w:val="000000"/>
          <w:kern w:val="0"/>
          <w:sz w:val="32"/>
          <w:szCs w:val="32"/>
          <w:highlight w:val="none"/>
          <w:lang w:val="en-US" w:eastAsia="zh-CN"/>
        </w:rPr>
        <w:t>第三十八条</w:t>
      </w:r>
      <w:r>
        <w:rPr>
          <w:rFonts w:hint="eastAsia" w:ascii="仿宋" w:hAnsi="仿宋" w:eastAsia="仿宋" w:cs="仿宋"/>
          <w:color w:val="000000"/>
          <w:kern w:val="0"/>
          <w:sz w:val="32"/>
          <w:szCs w:val="32"/>
          <w:highlight w:val="none"/>
          <w:lang w:val="en-US" w:eastAsia="zh-CN"/>
        </w:rPr>
        <w:t xml:space="preserve"> 本规则由交易所负责解释。</w:t>
      </w:r>
    </w:p>
    <w:p>
      <w:pPr>
        <w:keepNext w:val="0"/>
        <w:keepLines w:val="0"/>
        <w:pageBreakBefore w:val="0"/>
        <w:widowControl/>
        <w:kinsoku/>
        <w:wordWrap/>
        <w:overflowPunct/>
        <w:topLinePunct w:val="0"/>
        <w:autoSpaceDE/>
        <w:autoSpaceDN/>
        <w:bidi w:val="0"/>
        <w:adjustRightInd/>
        <w:snapToGrid w:val="0"/>
        <w:spacing w:line="600" w:lineRule="exact"/>
        <w:ind w:firstLine="642" w:firstLineChars="200"/>
        <w:jc w:val="both"/>
        <w:textAlignment w:val="auto"/>
        <w:rPr>
          <w:rFonts w:hint="eastAsia" w:ascii="仿宋" w:hAnsi="仿宋" w:eastAsia="仿宋" w:cs="仿宋"/>
          <w:color w:val="000000"/>
          <w:kern w:val="0"/>
          <w:sz w:val="32"/>
          <w:szCs w:val="32"/>
          <w:highlight w:val="none"/>
        </w:rPr>
      </w:pPr>
      <w:r>
        <w:rPr>
          <w:rFonts w:hint="eastAsia" w:ascii="仿宋" w:hAnsi="仿宋" w:eastAsia="仿宋" w:cs="仿宋"/>
          <w:b/>
          <w:color w:val="000000"/>
          <w:kern w:val="0"/>
          <w:sz w:val="32"/>
          <w:szCs w:val="32"/>
          <w:highlight w:val="none"/>
        </w:rPr>
        <w:t>第</w:t>
      </w:r>
      <w:r>
        <w:rPr>
          <w:rFonts w:hint="eastAsia" w:ascii="仿宋" w:hAnsi="仿宋" w:eastAsia="仿宋" w:cs="仿宋"/>
          <w:b/>
          <w:color w:val="000000"/>
          <w:kern w:val="0"/>
          <w:sz w:val="32"/>
          <w:szCs w:val="32"/>
          <w:highlight w:val="none"/>
          <w:lang w:eastAsia="zh-CN"/>
        </w:rPr>
        <w:t>三十</w:t>
      </w:r>
      <w:r>
        <w:rPr>
          <w:rFonts w:hint="eastAsia" w:ascii="仿宋" w:hAnsi="仿宋" w:eastAsia="仿宋" w:cs="仿宋"/>
          <w:b/>
          <w:color w:val="000000"/>
          <w:kern w:val="0"/>
          <w:sz w:val="32"/>
          <w:szCs w:val="32"/>
          <w:highlight w:val="none"/>
          <w:lang w:val="en-US" w:eastAsia="zh-CN"/>
        </w:rPr>
        <w:t>九</w:t>
      </w:r>
      <w:r>
        <w:rPr>
          <w:rFonts w:hint="eastAsia" w:ascii="仿宋" w:hAnsi="仿宋" w:eastAsia="仿宋" w:cs="仿宋"/>
          <w:b/>
          <w:color w:val="000000"/>
          <w:kern w:val="0"/>
          <w:sz w:val="32"/>
          <w:szCs w:val="32"/>
          <w:highlight w:val="none"/>
        </w:rPr>
        <w:t>条</w:t>
      </w:r>
      <w:r>
        <w:rPr>
          <w:rFonts w:hint="eastAsia" w:ascii="仿宋" w:hAnsi="仿宋" w:eastAsia="仿宋" w:cs="仿宋"/>
          <w:color w:val="000000"/>
          <w:kern w:val="0"/>
          <w:sz w:val="32"/>
          <w:szCs w:val="32"/>
          <w:highlight w:val="none"/>
        </w:rPr>
        <w:t xml:space="preserve"> 本规则自</w:t>
      </w:r>
      <w:r>
        <w:rPr>
          <w:rFonts w:hint="eastAsia" w:ascii="仿宋" w:hAnsi="仿宋" w:eastAsia="仿宋" w:cs="仿宋"/>
          <w:color w:val="000000"/>
          <w:kern w:val="0"/>
          <w:sz w:val="32"/>
          <w:szCs w:val="32"/>
          <w:highlight w:val="none"/>
          <w:lang w:val="en-US" w:eastAsia="zh-CN"/>
        </w:rPr>
        <w:t>2026</w:t>
      </w:r>
      <w:r>
        <w:rPr>
          <w:rFonts w:hint="eastAsia" w:ascii="仿宋" w:hAnsi="仿宋" w:eastAsia="仿宋" w:cs="仿宋"/>
          <w:color w:val="000000"/>
          <w:kern w:val="0"/>
          <w:sz w:val="32"/>
          <w:szCs w:val="32"/>
          <w:highlight w:val="none"/>
        </w:rPr>
        <w:t>年</w:t>
      </w:r>
      <w:r>
        <w:rPr>
          <w:rFonts w:hint="default" w:ascii="仿宋" w:hAnsi="仿宋" w:eastAsia="仿宋" w:cs="仿宋"/>
          <w:color w:val="000000"/>
          <w:kern w:val="0"/>
          <w:sz w:val="32"/>
          <w:szCs w:val="32"/>
          <w:highlight w:val="none"/>
          <w:lang w:val="en-US" w:eastAsia="zh-CN"/>
        </w:rPr>
        <w:t>3</w:t>
      </w:r>
      <w:r>
        <w:rPr>
          <w:rFonts w:hint="eastAsia" w:ascii="仿宋" w:hAnsi="仿宋" w:eastAsia="仿宋" w:cs="仿宋"/>
          <w:color w:val="000000"/>
          <w:kern w:val="0"/>
          <w:sz w:val="32"/>
          <w:szCs w:val="32"/>
          <w:highlight w:val="none"/>
        </w:rPr>
        <w:t>月</w:t>
      </w:r>
      <w:r>
        <w:rPr>
          <w:rFonts w:hint="default" w:ascii="仿宋" w:hAnsi="仿宋" w:eastAsia="仿宋" w:cs="仿宋"/>
          <w:color w:val="000000"/>
          <w:kern w:val="0"/>
          <w:sz w:val="32"/>
          <w:szCs w:val="32"/>
          <w:highlight w:val="none"/>
          <w:lang w:val="en-US"/>
        </w:rPr>
        <w:t>13</w:t>
      </w:r>
      <w:r>
        <w:rPr>
          <w:rFonts w:hint="eastAsia" w:ascii="仿宋" w:hAnsi="仿宋" w:eastAsia="仿宋" w:cs="仿宋"/>
          <w:color w:val="000000"/>
          <w:kern w:val="0"/>
          <w:sz w:val="32"/>
          <w:szCs w:val="32"/>
          <w:highlight w:val="none"/>
        </w:rPr>
        <w:t>日起实施。</w:t>
      </w:r>
    </w:p>
    <w:p>
      <w:pPr>
        <w:snapToGrid w:val="0"/>
        <w:spacing w:line="560" w:lineRule="atLeast"/>
        <w:jc w:val="center"/>
        <w:rPr>
          <w:rFonts w:ascii="仿宋" w:hAnsi="仿宋" w:eastAsia="仿宋"/>
          <w:sz w:val="32"/>
          <w:szCs w:val="32"/>
        </w:rPr>
      </w:pPr>
      <w:r>
        <w:rPr>
          <w:rFonts w:hint="eastAsia" w:ascii="仿宋" w:hAnsi="仿宋" w:eastAsia="仿宋"/>
          <w:sz w:val="32"/>
          <w:szCs w:val="32"/>
        </w:rPr>
        <w:fldChar w:fldCharType="begin"/>
      </w:r>
      <w:r>
        <w:rPr>
          <w:rFonts w:hint="eastAsia" w:ascii="仿宋" w:hAnsi="仿宋" w:eastAsia="仿宋"/>
          <w:sz w:val="32"/>
          <w:szCs w:val="32"/>
        </w:rPr>
        <w:instrText xml:space="preserve"> MERGEFIELD 文件标题 </w:instrText>
      </w:r>
      <w:r>
        <w:rPr>
          <w:rFonts w:hint="eastAsia" w:ascii="仿宋" w:hAnsi="仿宋" w:eastAsia="仿宋"/>
          <w:sz w:val="32"/>
          <w:szCs w:val="32"/>
        </w:rPr>
        <w:fldChar w:fldCharType="end"/>
      </w:r>
    </w:p>
    <w:p>
      <w:pPr>
        <w:ind w:firstLine="648"/>
        <w:rPr>
          <w:rFonts w:ascii="仿宋" w:hAnsi="仿宋" w:eastAsia="仿宋"/>
          <w:sz w:val="32"/>
          <w:szCs w:val="32"/>
        </w:rPr>
      </w:pPr>
    </w:p>
    <w:p>
      <w:pPr>
        <w:ind w:right="800"/>
        <w:rPr>
          <w:rFonts w:ascii="仿宋" w:hAnsi="仿宋" w:eastAsia="仿宋"/>
          <w:sz w:val="32"/>
          <w:szCs w:val="32"/>
        </w:rPr>
      </w:pPr>
    </w:p>
    <w:p>
      <w:pPr>
        <w:ind w:right="800"/>
        <w:rPr>
          <w:rFonts w:ascii="仿宋" w:hAnsi="仿宋" w:eastAsia="仿宋"/>
          <w:sz w:val="32"/>
          <w:szCs w:val="32"/>
        </w:rPr>
      </w:pPr>
    </w:p>
    <w:p>
      <w:pPr>
        <w:ind w:right="800"/>
        <w:rPr>
          <w:rFonts w:ascii="仿宋" w:hAnsi="仿宋" w:eastAsia="仿宋"/>
          <w:sz w:val="32"/>
          <w:szCs w:val="32"/>
        </w:rPr>
      </w:pPr>
    </w:p>
    <w:p>
      <w:pPr>
        <w:rPr>
          <w:rFonts w:ascii="仿宋" w:hAnsi="仿宋" w:eastAsia="仿宋"/>
          <w:sz w:val="32"/>
        </w:rPr>
      </w:pPr>
    </w:p>
    <w:sectPr>
      <w:headerReference r:id="rId4" w:type="first"/>
      <w:footerReference r:id="rId7" w:type="first"/>
      <w:footerReference r:id="rId5" w:type="default"/>
      <w:headerReference r:id="rId3" w:type="even"/>
      <w:footerReference r:id="rId6" w:type="even"/>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jc w:val="right"/>
      <w:rPr>
        <w:sz w:val="28"/>
      </w:rPr>
    </w:pPr>
    <w:r>
      <w:rPr>
        <w:rFonts w:hint="eastAsia"/>
        <w:sz w:val="28"/>
      </w:rPr>
      <w:t>—</w:t>
    </w:r>
    <w:r>
      <w:rPr>
        <w:rStyle w:val="8"/>
        <w:sz w:val="28"/>
      </w:rPr>
      <w:fldChar w:fldCharType="begin"/>
    </w:r>
    <w:r>
      <w:rPr>
        <w:rStyle w:val="8"/>
        <w:sz w:val="28"/>
      </w:rPr>
      <w:instrText xml:space="preserve"> PAGE </w:instrText>
    </w:r>
    <w:r>
      <w:rPr>
        <w:rStyle w:val="8"/>
        <w:sz w:val="28"/>
      </w:rPr>
      <w:fldChar w:fldCharType="separate"/>
    </w:r>
    <w:r>
      <w:rPr>
        <w:rStyle w:val="8"/>
        <w:sz w:val="28"/>
      </w:rPr>
      <w:t>1</w:t>
    </w:r>
    <w:r>
      <w:rPr>
        <w:rStyle w:val="8"/>
        <w:sz w:val="28"/>
      </w:rPr>
      <w:fldChar w:fldCharType="end"/>
    </w:r>
    <w:r>
      <w:rPr>
        <w:rFonts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sz w:val="28"/>
      </w:rPr>
    </w:pPr>
    <w:r>
      <w:rPr>
        <w:rFonts w:hint="eastAsia"/>
        <w:sz w:val="28"/>
      </w:rPr>
      <w:t>—</w:t>
    </w:r>
    <w:r>
      <w:rPr>
        <w:rStyle w:val="8"/>
        <w:sz w:val="28"/>
      </w:rPr>
      <w:fldChar w:fldCharType="begin"/>
    </w:r>
    <w:r>
      <w:rPr>
        <w:rStyle w:val="8"/>
        <w:sz w:val="28"/>
      </w:rPr>
      <w:instrText xml:space="preserve"> PAGE </w:instrText>
    </w:r>
    <w:r>
      <w:rPr>
        <w:rStyle w:val="8"/>
        <w:sz w:val="28"/>
      </w:rPr>
      <w:fldChar w:fldCharType="separate"/>
    </w:r>
    <w:r>
      <w:rPr>
        <w:rStyle w:val="8"/>
        <w:sz w:val="28"/>
      </w:rPr>
      <w:t>4</w:t>
    </w:r>
    <w:r>
      <w:rPr>
        <w:rStyle w:val="8"/>
        <w:sz w:val="28"/>
      </w:rPr>
      <w:fldChar w:fldCharType="end"/>
    </w:r>
    <w:r>
      <w:rPr>
        <w:rFonts w:hint="eastAsia"/>
        <w:sz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CA3C4F"/>
    <w:multiLevelType w:val="singleLevel"/>
    <w:tmpl w:val="95CA3C4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dit="trackedChange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E8A"/>
    <w:rsid w:val="000001F5"/>
    <w:rsid w:val="000003DC"/>
    <w:rsid w:val="000014F8"/>
    <w:rsid w:val="00002A40"/>
    <w:rsid w:val="00002BEB"/>
    <w:rsid w:val="00002E26"/>
    <w:rsid w:val="00004296"/>
    <w:rsid w:val="00004C6F"/>
    <w:rsid w:val="00004EB1"/>
    <w:rsid w:val="00005702"/>
    <w:rsid w:val="000073AA"/>
    <w:rsid w:val="00010417"/>
    <w:rsid w:val="00011183"/>
    <w:rsid w:val="00012607"/>
    <w:rsid w:val="0001260C"/>
    <w:rsid w:val="00014A55"/>
    <w:rsid w:val="000169B4"/>
    <w:rsid w:val="0002049C"/>
    <w:rsid w:val="000242DE"/>
    <w:rsid w:val="0002676C"/>
    <w:rsid w:val="00026C87"/>
    <w:rsid w:val="00027299"/>
    <w:rsid w:val="00030567"/>
    <w:rsid w:val="000329D1"/>
    <w:rsid w:val="0003324C"/>
    <w:rsid w:val="00034F86"/>
    <w:rsid w:val="00036407"/>
    <w:rsid w:val="00044139"/>
    <w:rsid w:val="0005173D"/>
    <w:rsid w:val="0005205B"/>
    <w:rsid w:val="00052C5E"/>
    <w:rsid w:val="0005492E"/>
    <w:rsid w:val="00056C26"/>
    <w:rsid w:val="00060795"/>
    <w:rsid w:val="000608B0"/>
    <w:rsid w:val="000617CC"/>
    <w:rsid w:val="00061A4A"/>
    <w:rsid w:val="0006518A"/>
    <w:rsid w:val="0006663E"/>
    <w:rsid w:val="00067B6F"/>
    <w:rsid w:val="00067BE9"/>
    <w:rsid w:val="00074328"/>
    <w:rsid w:val="00074E4B"/>
    <w:rsid w:val="000754DD"/>
    <w:rsid w:val="00081302"/>
    <w:rsid w:val="000820C9"/>
    <w:rsid w:val="00082102"/>
    <w:rsid w:val="00082D2E"/>
    <w:rsid w:val="0008334C"/>
    <w:rsid w:val="0008416A"/>
    <w:rsid w:val="00085DE8"/>
    <w:rsid w:val="000900EC"/>
    <w:rsid w:val="000901D1"/>
    <w:rsid w:val="00094CFF"/>
    <w:rsid w:val="000967AC"/>
    <w:rsid w:val="00097D09"/>
    <w:rsid w:val="000A140C"/>
    <w:rsid w:val="000A5168"/>
    <w:rsid w:val="000A5A3D"/>
    <w:rsid w:val="000B1E3C"/>
    <w:rsid w:val="000B31FF"/>
    <w:rsid w:val="000B3E74"/>
    <w:rsid w:val="000B5091"/>
    <w:rsid w:val="000B5688"/>
    <w:rsid w:val="000B7916"/>
    <w:rsid w:val="000C172F"/>
    <w:rsid w:val="000C17CA"/>
    <w:rsid w:val="000C3315"/>
    <w:rsid w:val="000C356C"/>
    <w:rsid w:val="000C4C59"/>
    <w:rsid w:val="000C7636"/>
    <w:rsid w:val="000D0540"/>
    <w:rsid w:val="000D606B"/>
    <w:rsid w:val="000D7306"/>
    <w:rsid w:val="000D762C"/>
    <w:rsid w:val="000E0627"/>
    <w:rsid w:val="000E06FA"/>
    <w:rsid w:val="000E5475"/>
    <w:rsid w:val="000E76FB"/>
    <w:rsid w:val="000F23E7"/>
    <w:rsid w:val="000F29FC"/>
    <w:rsid w:val="000F2DBF"/>
    <w:rsid w:val="000F40AA"/>
    <w:rsid w:val="001033A4"/>
    <w:rsid w:val="001062DA"/>
    <w:rsid w:val="001065BE"/>
    <w:rsid w:val="00110A8C"/>
    <w:rsid w:val="00110E85"/>
    <w:rsid w:val="00110E86"/>
    <w:rsid w:val="001213D3"/>
    <w:rsid w:val="0012151D"/>
    <w:rsid w:val="001228B3"/>
    <w:rsid w:val="00124271"/>
    <w:rsid w:val="00125339"/>
    <w:rsid w:val="0012557A"/>
    <w:rsid w:val="001314E3"/>
    <w:rsid w:val="00133D3D"/>
    <w:rsid w:val="00134BCD"/>
    <w:rsid w:val="00134E02"/>
    <w:rsid w:val="001356A6"/>
    <w:rsid w:val="00136D74"/>
    <w:rsid w:val="00137D11"/>
    <w:rsid w:val="00140916"/>
    <w:rsid w:val="001409DF"/>
    <w:rsid w:val="001433B9"/>
    <w:rsid w:val="00143967"/>
    <w:rsid w:val="00143D92"/>
    <w:rsid w:val="001441F0"/>
    <w:rsid w:val="001441F8"/>
    <w:rsid w:val="001447A0"/>
    <w:rsid w:val="0014593B"/>
    <w:rsid w:val="0014676B"/>
    <w:rsid w:val="00147675"/>
    <w:rsid w:val="00151823"/>
    <w:rsid w:val="00153C74"/>
    <w:rsid w:val="00154105"/>
    <w:rsid w:val="00156318"/>
    <w:rsid w:val="00156457"/>
    <w:rsid w:val="00162E48"/>
    <w:rsid w:val="00163388"/>
    <w:rsid w:val="00163ECE"/>
    <w:rsid w:val="00164038"/>
    <w:rsid w:val="00164B62"/>
    <w:rsid w:val="00164F46"/>
    <w:rsid w:val="001706AC"/>
    <w:rsid w:val="00171E7C"/>
    <w:rsid w:val="00171F06"/>
    <w:rsid w:val="0017384B"/>
    <w:rsid w:val="00176367"/>
    <w:rsid w:val="00180471"/>
    <w:rsid w:val="00181992"/>
    <w:rsid w:val="00181DFD"/>
    <w:rsid w:val="0018239C"/>
    <w:rsid w:val="001861A4"/>
    <w:rsid w:val="001862D9"/>
    <w:rsid w:val="00190997"/>
    <w:rsid w:val="00191680"/>
    <w:rsid w:val="00192AD1"/>
    <w:rsid w:val="00194106"/>
    <w:rsid w:val="001A0003"/>
    <w:rsid w:val="001A0DA0"/>
    <w:rsid w:val="001A356C"/>
    <w:rsid w:val="001A52B1"/>
    <w:rsid w:val="001A7B8A"/>
    <w:rsid w:val="001B2208"/>
    <w:rsid w:val="001B3392"/>
    <w:rsid w:val="001B3B4A"/>
    <w:rsid w:val="001B616B"/>
    <w:rsid w:val="001B6997"/>
    <w:rsid w:val="001B6D33"/>
    <w:rsid w:val="001B6EF1"/>
    <w:rsid w:val="001C0D37"/>
    <w:rsid w:val="001C1EBD"/>
    <w:rsid w:val="001C2DA1"/>
    <w:rsid w:val="001C4BA8"/>
    <w:rsid w:val="001C4E7B"/>
    <w:rsid w:val="001C5CE6"/>
    <w:rsid w:val="001C7403"/>
    <w:rsid w:val="001D2C75"/>
    <w:rsid w:val="001D3188"/>
    <w:rsid w:val="001D33B7"/>
    <w:rsid w:val="001D6F9A"/>
    <w:rsid w:val="001E18EE"/>
    <w:rsid w:val="001E18F9"/>
    <w:rsid w:val="001E366C"/>
    <w:rsid w:val="001E4DE0"/>
    <w:rsid w:val="001E4FD8"/>
    <w:rsid w:val="001E66F0"/>
    <w:rsid w:val="001F04EB"/>
    <w:rsid w:val="001F261A"/>
    <w:rsid w:val="001F3D02"/>
    <w:rsid w:val="001F4C5C"/>
    <w:rsid w:val="001F52D8"/>
    <w:rsid w:val="001F5336"/>
    <w:rsid w:val="001F7336"/>
    <w:rsid w:val="001F7DEE"/>
    <w:rsid w:val="002027A7"/>
    <w:rsid w:val="002030EA"/>
    <w:rsid w:val="002064B3"/>
    <w:rsid w:val="0021318F"/>
    <w:rsid w:val="00213A1D"/>
    <w:rsid w:val="0021433B"/>
    <w:rsid w:val="00215DED"/>
    <w:rsid w:val="002203D1"/>
    <w:rsid w:val="002205AB"/>
    <w:rsid w:val="0022195F"/>
    <w:rsid w:val="0022333C"/>
    <w:rsid w:val="00223499"/>
    <w:rsid w:val="0022466A"/>
    <w:rsid w:val="002265F2"/>
    <w:rsid w:val="00227684"/>
    <w:rsid w:val="002308AD"/>
    <w:rsid w:val="00230BBB"/>
    <w:rsid w:val="0023113C"/>
    <w:rsid w:val="002339F9"/>
    <w:rsid w:val="00233A04"/>
    <w:rsid w:val="00233AA1"/>
    <w:rsid w:val="002342EC"/>
    <w:rsid w:val="00236543"/>
    <w:rsid w:val="00236A42"/>
    <w:rsid w:val="002373CA"/>
    <w:rsid w:val="00237510"/>
    <w:rsid w:val="002411B9"/>
    <w:rsid w:val="00241BA8"/>
    <w:rsid w:val="002425E4"/>
    <w:rsid w:val="00242C8C"/>
    <w:rsid w:val="00244C30"/>
    <w:rsid w:val="002465C0"/>
    <w:rsid w:val="00247137"/>
    <w:rsid w:val="00251A65"/>
    <w:rsid w:val="002520CF"/>
    <w:rsid w:val="0025352C"/>
    <w:rsid w:val="00253770"/>
    <w:rsid w:val="002548CD"/>
    <w:rsid w:val="00257D88"/>
    <w:rsid w:val="0026069B"/>
    <w:rsid w:val="002658FB"/>
    <w:rsid w:val="002669A1"/>
    <w:rsid w:val="00267DAA"/>
    <w:rsid w:val="00270700"/>
    <w:rsid w:val="00270AE1"/>
    <w:rsid w:val="002719A7"/>
    <w:rsid w:val="002735CC"/>
    <w:rsid w:val="0027432D"/>
    <w:rsid w:val="0028016B"/>
    <w:rsid w:val="00280F80"/>
    <w:rsid w:val="00281DBB"/>
    <w:rsid w:val="002829F2"/>
    <w:rsid w:val="0028462F"/>
    <w:rsid w:val="00286088"/>
    <w:rsid w:val="00287836"/>
    <w:rsid w:val="00287BED"/>
    <w:rsid w:val="00291BA0"/>
    <w:rsid w:val="00291DD3"/>
    <w:rsid w:val="00291E6A"/>
    <w:rsid w:val="002953EA"/>
    <w:rsid w:val="00295707"/>
    <w:rsid w:val="00297E3F"/>
    <w:rsid w:val="002A08CD"/>
    <w:rsid w:val="002A0A8F"/>
    <w:rsid w:val="002A2D8E"/>
    <w:rsid w:val="002A3208"/>
    <w:rsid w:val="002B18F5"/>
    <w:rsid w:val="002B1977"/>
    <w:rsid w:val="002B21D8"/>
    <w:rsid w:val="002B53B4"/>
    <w:rsid w:val="002B5E5D"/>
    <w:rsid w:val="002B79A7"/>
    <w:rsid w:val="002C067B"/>
    <w:rsid w:val="002C2288"/>
    <w:rsid w:val="002C2AD8"/>
    <w:rsid w:val="002C401D"/>
    <w:rsid w:val="002C49BB"/>
    <w:rsid w:val="002C545C"/>
    <w:rsid w:val="002C54DF"/>
    <w:rsid w:val="002C66E0"/>
    <w:rsid w:val="002D4C09"/>
    <w:rsid w:val="002D5C89"/>
    <w:rsid w:val="002D6773"/>
    <w:rsid w:val="002E1A35"/>
    <w:rsid w:val="002E25FB"/>
    <w:rsid w:val="002E3400"/>
    <w:rsid w:val="002E39C3"/>
    <w:rsid w:val="002E39F5"/>
    <w:rsid w:val="002E481D"/>
    <w:rsid w:val="002E7A81"/>
    <w:rsid w:val="002F1A51"/>
    <w:rsid w:val="002F4C97"/>
    <w:rsid w:val="002F5419"/>
    <w:rsid w:val="0030292D"/>
    <w:rsid w:val="00306EBE"/>
    <w:rsid w:val="0031001B"/>
    <w:rsid w:val="00312BA8"/>
    <w:rsid w:val="003149DA"/>
    <w:rsid w:val="00317E1B"/>
    <w:rsid w:val="00321B8F"/>
    <w:rsid w:val="00321C8E"/>
    <w:rsid w:val="003223F2"/>
    <w:rsid w:val="003226A6"/>
    <w:rsid w:val="003231B1"/>
    <w:rsid w:val="0032481B"/>
    <w:rsid w:val="003301BB"/>
    <w:rsid w:val="0033099F"/>
    <w:rsid w:val="003314C9"/>
    <w:rsid w:val="00333080"/>
    <w:rsid w:val="00336655"/>
    <w:rsid w:val="0033681A"/>
    <w:rsid w:val="00340820"/>
    <w:rsid w:val="00344236"/>
    <w:rsid w:val="00344F8F"/>
    <w:rsid w:val="003461AD"/>
    <w:rsid w:val="00347FB0"/>
    <w:rsid w:val="00350091"/>
    <w:rsid w:val="00352A3F"/>
    <w:rsid w:val="003561DD"/>
    <w:rsid w:val="003602CA"/>
    <w:rsid w:val="0036356D"/>
    <w:rsid w:val="00364976"/>
    <w:rsid w:val="00365F05"/>
    <w:rsid w:val="0037359E"/>
    <w:rsid w:val="0037586C"/>
    <w:rsid w:val="0037605A"/>
    <w:rsid w:val="00377265"/>
    <w:rsid w:val="003801B1"/>
    <w:rsid w:val="00382171"/>
    <w:rsid w:val="00382985"/>
    <w:rsid w:val="003849B5"/>
    <w:rsid w:val="00384FA8"/>
    <w:rsid w:val="00386551"/>
    <w:rsid w:val="00387FA7"/>
    <w:rsid w:val="00390ABB"/>
    <w:rsid w:val="003913E8"/>
    <w:rsid w:val="00392985"/>
    <w:rsid w:val="003930F1"/>
    <w:rsid w:val="0039314B"/>
    <w:rsid w:val="00393181"/>
    <w:rsid w:val="00395343"/>
    <w:rsid w:val="003967D5"/>
    <w:rsid w:val="003A107E"/>
    <w:rsid w:val="003A133D"/>
    <w:rsid w:val="003A7001"/>
    <w:rsid w:val="003A748A"/>
    <w:rsid w:val="003A7807"/>
    <w:rsid w:val="003A7D1E"/>
    <w:rsid w:val="003B01E2"/>
    <w:rsid w:val="003B51C1"/>
    <w:rsid w:val="003B7506"/>
    <w:rsid w:val="003B7561"/>
    <w:rsid w:val="003B75E3"/>
    <w:rsid w:val="003B75EE"/>
    <w:rsid w:val="003C051B"/>
    <w:rsid w:val="003C151A"/>
    <w:rsid w:val="003C1A4A"/>
    <w:rsid w:val="003C2638"/>
    <w:rsid w:val="003C3470"/>
    <w:rsid w:val="003C4245"/>
    <w:rsid w:val="003C5A99"/>
    <w:rsid w:val="003D0613"/>
    <w:rsid w:val="003D0967"/>
    <w:rsid w:val="003D19D2"/>
    <w:rsid w:val="003D556B"/>
    <w:rsid w:val="003D7F73"/>
    <w:rsid w:val="003E0362"/>
    <w:rsid w:val="003E1029"/>
    <w:rsid w:val="003E2FE4"/>
    <w:rsid w:val="003E4471"/>
    <w:rsid w:val="003E6C9F"/>
    <w:rsid w:val="003E73A5"/>
    <w:rsid w:val="003E7595"/>
    <w:rsid w:val="003E787F"/>
    <w:rsid w:val="003F01B2"/>
    <w:rsid w:val="003F0D09"/>
    <w:rsid w:val="003F4183"/>
    <w:rsid w:val="003F6309"/>
    <w:rsid w:val="003F6ED2"/>
    <w:rsid w:val="003F769A"/>
    <w:rsid w:val="003F7EF5"/>
    <w:rsid w:val="0040148C"/>
    <w:rsid w:val="004018D9"/>
    <w:rsid w:val="00403A9B"/>
    <w:rsid w:val="00404591"/>
    <w:rsid w:val="00405FD8"/>
    <w:rsid w:val="00406F84"/>
    <w:rsid w:val="00407062"/>
    <w:rsid w:val="00410188"/>
    <w:rsid w:val="00410991"/>
    <w:rsid w:val="00411DB1"/>
    <w:rsid w:val="004126B3"/>
    <w:rsid w:val="00416877"/>
    <w:rsid w:val="00420EDB"/>
    <w:rsid w:val="00423645"/>
    <w:rsid w:val="00423667"/>
    <w:rsid w:val="00425A35"/>
    <w:rsid w:val="004269A5"/>
    <w:rsid w:val="00426A35"/>
    <w:rsid w:val="0043178A"/>
    <w:rsid w:val="00433114"/>
    <w:rsid w:val="00433274"/>
    <w:rsid w:val="00433B15"/>
    <w:rsid w:val="004374B5"/>
    <w:rsid w:val="004408B1"/>
    <w:rsid w:val="00440D54"/>
    <w:rsid w:val="00440F13"/>
    <w:rsid w:val="004414FB"/>
    <w:rsid w:val="00442279"/>
    <w:rsid w:val="00444D7A"/>
    <w:rsid w:val="00446281"/>
    <w:rsid w:val="00446447"/>
    <w:rsid w:val="00446938"/>
    <w:rsid w:val="004473BE"/>
    <w:rsid w:val="0045364B"/>
    <w:rsid w:val="0046210E"/>
    <w:rsid w:val="00462A8C"/>
    <w:rsid w:val="00466AFC"/>
    <w:rsid w:val="00470443"/>
    <w:rsid w:val="00470D46"/>
    <w:rsid w:val="0047312A"/>
    <w:rsid w:val="00473ED2"/>
    <w:rsid w:val="00474229"/>
    <w:rsid w:val="00480E20"/>
    <w:rsid w:val="004821A8"/>
    <w:rsid w:val="004829A0"/>
    <w:rsid w:val="00484774"/>
    <w:rsid w:val="00485652"/>
    <w:rsid w:val="00486416"/>
    <w:rsid w:val="00490F3B"/>
    <w:rsid w:val="004921FC"/>
    <w:rsid w:val="00492DE1"/>
    <w:rsid w:val="0049421E"/>
    <w:rsid w:val="0049451D"/>
    <w:rsid w:val="00496FBD"/>
    <w:rsid w:val="00497FC8"/>
    <w:rsid w:val="004A089A"/>
    <w:rsid w:val="004A0F82"/>
    <w:rsid w:val="004A5508"/>
    <w:rsid w:val="004A59DC"/>
    <w:rsid w:val="004A627A"/>
    <w:rsid w:val="004B0CDC"/>
    <w:rsid w:val="004B2684"/>
    <w:rsid w:val="004B39FE"/>
    <w:rsid w:val="004B4495"/>
    <w:rsid w:val="004B63B0"/>
    <w:rsid w:val="004C14F0"/>
    <w:rsid w:val="004C1BB7"/>
    <w:rsid w:val="004C23D2"/>
    <w:rsid w:val="004C3FD8"/>
    <w:rsid w:val="004C47BC"/>
    <w:rsid w:val="004C7DC3"/>
    <w:rsid w:val="004D0874"/>
    <w:rsid w:val="004D0C9D"/>
    <w:rsid w:val="004D0D5C"/>
    <w:rsid w:val="004D1EE3"/>
    <w:rsid w:val="004D2CD1"/>
    <w:rsid w:val="004D57D3"/>
    <w:rsid w:val="004D7963"/>
    <w:rsid w:val="004E1889"/>
    <w:rsid w:val="004E390F"/>
    <w:rsid w:val="004E5897"/>
    <w:rsid w:val="004E683C"/>
    <w:rsid w:val="004E7E37"/>
    <w:rsid w:val="004E7F35"/>
    <w:rsid w:val="004F0AD2"/>
    <w:rsid w:val="004F3A0C"/>
    <w:rsid w:val="004F49CC"/>
    <w:rsid w:val="004F5AB1"/>
    <w:rsid w:val="005001D1"/>
    <w:rsid w:val="00500FB7"/>
    <w:rsid w:val="0050160E"/>
    <w:rsid w:val="00501C80"/>
    <w:rsid w:val="00503228"/>
    <w:rsid w:val="005046CA"/>
    <w:rsid w:val="005048F5"/>
    <w:rsid w:val="00505011"/>
    <w:rsid w:val="00505EDB"/>
    <w:rsid w:val="00507749"/>
    <w:rsid w:val="00507CE6"/>
    <w:rsid w:val="00514116"/>
    <w:rsid w:val="005153FE"/>
    <w:rsid w:val="0052702A"/>
    <w:rsid w:val="00527C0C"/>
    <w:rsid w:val="00527D39"/>
    <w:rsid w:val="00535129"/>
    <w:rsid w:val="005379F1"/>
    <w:rsid w:val="00540AA8"/>
    <w:rsid w:val="00541262"/>
    <w:rsid w:val="00541F96"/>
    <w:rsid w:val="00542C13"/>
    <w:rsid w:val="00545CBA"/>
    <w:rsid w:val="00546229"/>
    <w:rsid w:val="00546406"/>
    <w:rsid w:val="00551A87"/>
    <w:rsid w:val="00551C0C"/>
    <w:rsid w:val="00554132"/>
    <w:rsid w:val="0055488E"/>
    <w:rsid w:val="00554FF2"/>
    <w:rsid w:val="0055541A"/>
    <w:rsid w:val="00555939"/>
    <w:rsid w:val="00556447"/>
    <w:rsid w:val="005621AA"/>
    <w:rsid w:val="005628BD"/>
    <w:rsid w:val="00564AE3"/>
    <w:rsid w:val="00564C50"/>
    <w:rsid w:val="005668E5"/>
    <w:rsid w:val="00566CC1"/>
    <w:rsid w:val="00567284"/>
    <w:rsid w:val="00571B6C"/>
    <w:rsid w:val="005729DA"/>
    <w:rsid w:val="005738F5"/>
    <w:rsid w:val="00574D60"/>
    <w:rsid w:val="00575806"/>
    <w:rsid w:val="005819FD"/>
    <w:rsid w:val="00581D48"/>
    <w:rsid w:val="00582539"/>
    <w:rsid w:val="00583F73"/>
    <w:rsid w:val="005846F6"/>
    <w:rsid w:val="0058594A"/>
    <w:rsid w:val="00590D0A"/>
    <w:rsid w:val="0059177F"/>
    <w:rsid w:val="00592AEE"/>
    <w:rsid w:val="00592EA1"/>
    <w:rsid w:val="00593014"/>
    <w:rsid w:val="0059455E"/>
    <w:rsid w:val="0059464C"/>
    <w:rsid w:val="00595D4E"/>
    <w:rsid w:val="005A1D09"/>
    <w:rsid w:val="005A3192"/>
    <w:rsid w:val="005A50CF"/>
    <w:rsid w:val="005A6A99"/>
    <w:rsid w:val="005B0920"/>
    <w:rsid w:val="005B2CFA"/>
    <w:rsid w:val="005B3EB0"/>
    <w:rsid w:val="005B4FEC"/>
    <w:rsid w:val="005B5660"/>
    <w:rsid w:val="005B59CF"/>
    <w:rsid w:val="005B6DD9"/>
    <w:rsid w:val="005C02E0"/>
    <w:rsid w:val="005C04FC"/>
    <w:rsid w:val="005C0873"/>
    <w:rsid w:val="005C1FB9"/>
    <w:rsid w:val="005C2E57"/>
    <w:rsid w:val="005C5072"/>
    <w:rsid w:val="005D1EB0"/>
    <w:rsid w:val="005D3662"/>
    <w:rsid w:val="005D514A"/>
    <w:rsid w:val="005D5928"/>
    <w:rsid w:val="005D592A"/>
    <w:rsid w:val="005D6191"/>
    <w:rsid w:val="005D6E7E"/>
    <w:rsid w:val="005D7939"/>
    <w:rsid w:val="005E0426"/>
    <w:rsid w:val="005E0D26"/>
    <w:rsid w:val="005E1791"/>
    <w:rsid w:val="005E3374"/>
    <w:rsid w:val="005E3E96"/>
    <w:rsid w:val="005E555F"/>
    <w:rsid w:val="005E5956"/>
    <w:rsid w:val="005E5BC9"/>
    <w:rsid w:val="005F12E8"/>
    <w:rsid w:val="005F21B2"/>
    <w:rsid w:val="005F4FB5"/>
    <w:rsid w:val="005F6138"/>
    <w:rsid w:val="005F713B"/>
    <w:rsid w:val="005F7E81"/>
    <w:rsid w:val="00601454"/>
    <w:rsid w:val="00602ADC"/>
    <w:rsid w:val="006037EF"/>
    <w:rsid w:val="00603D6E"/>
    <w:rsid w:val="00606801"/>
    <w:rsid w:val="00607C2B"/>
    <w:rsid w:val="00607DBD"/>
    <w:rsid w:val="00610591"/>
    <w:rsid w:val="00613D08"/>
    <w:rsid w:val="0061555B"/>
    <w:rsid w:val="00617CB2"/>
    <w:rsid w:val="00620DF9"/>
    <w:rsid w:val="00621317"/>
    <w:rsid w:val="00623308"/>
    <w:rsid w:val="006248CD"/>
    <w:rsid w:val="00624A63"/>
    <w:rsid w:val="00625B3C"/>
    <w:rsid w:val="0062699B"/>
    <w:rsid w:val="00630498"/>
    <w:rsid w:val="006314E1"/>
    <w:rsid w:val="006328C3"/>
    <w:rsid w:val="00632F5E"/>
    <w:rsid w:val="00633E7F"/>
    <w:rsid w:val="00635785"/>
    <w:rsid w:val="0063717C"/>
    <w:rsid w:val="00640929"/>
    <w:rsid w:val="00641386"/>
    <w:rsid w:val="00641C5C"/>
    <w:rsid w:val="00644D4D"/>
    <w:rsid w:val="00645213"/>
    <w:rsid w:val="006474F9"/>
    <w:rsid w:val="0065129A"/>
    <w:rsid w:val="00651AEC"/>
    <w:rsid w:val="00651D9C"/>
    <w:rsid w:val="00652D9B"/>
    <w:rsid w:val="006537A3"/>
    <w:rsid w:val="00653B1E"/>
    <w:rsid w:val="00653EDC"/>
    <w:rsid w:val="00654E70"/>
    <w:rsid w:val="00655591"/>
    <w:rsid w:val="006562F6"/>
    <w:rsid w:val="0066079D"/>
    <w:rsid w:val="00660A2F"/>
    <w:rsid w:val="00660B6E"/>
    <w:rsid w:val="006627B1"/>
    <w:rsid w:val="00663022"/>
    <w:rsid w:val="0066351A"/>
    <w:rsid w:val="00665C44"/>
    <w:rsid w:val="00665DDA"/>
    <w:rsid w:val="00670F02"/>
    <w:rsid w:val="0067102D"/>
    <w:rsid w:val="0067266B"/>
    <w:rsid w:val="00673F4C"/>
    <w:rsid w:val="006742EA"/>
    <w:rsid w:val="00674913"/>
    <w:rsid w:val="00674E39"/>
    <w:rsid w:val="00677267"/>
    <w:rsid w:val="0068138E"/>
    <w:rsid w:val="00684780"/>
    <w:rsid w:val="00686E1A"/>
    <w:rsid w:val="0069003D"/>
    <w:rsid w:val="0069003F"/>
    <w:rsid w:val="00692E94"/>
    <w:rsid w:val="006969B9"/>
    <w:rsid w:val="006A0F09"/>
    <w:rsid w:val="006A1AEA"/>
    <w:rsid w:val="006A2176"/>
    <w:rsid w:val="006A2184"/>
    <w:rsid w:val="006A3A0A"/>
    <w:rsid w:val="006A5DA6"/>
    <w:rsid w:val="006A6DE3"/>
    <w:rsid w:val="006A7851"/>
    <w:rsid w:val="006A7EA8"/>
    <w:rsid w:val="006B0ACE"/>
    <w:rsid w:val="006B2BDD"/>
    <w:rsid w:val="006B4965"/>
    <w:rsid w:val="006B4980"/>
    <w:rsid w:val="006C02A5"/>
    <w:rsid w:val="006C0447"/>
    <w:rsid w:val="006C129D"/>
    <w:rsid w:val="006C203E"/>
    <w:rsid w:val="006C38A4"/>
    <w:rsid w:val="006C49FD"/>
    <w:rsid w:val="006C4B97"/>
    <w:rsid w:val="006C50CD"/>
    <w:rsid w:val="006C6454"/>
    <w:rsid w:val="006C7AC8"/>
    <w:rsid w:val="006D149C"/>
    <w:rsid w:val="006D3857"/>
    <w:rsid w:val="006D4925"/>
    <w:rsid w:val="006D569A"/>
    <w:rsid w:val="006E31D8"/>
    <w:rsid w:val="006E6A2A"/>
    <w:rsid w:val="006F0484"/>
    <w:rsid w:val="006F080C"/>
    <w:rsid w:val="006F1359"/>
    <w:rsid w:val="006F158B"/>
    <w:rsid w:val="006F1E58"/>
    <w:rsid w:val="006F23CB"/>
    <w:rsid w:val="006F48E3"/>
    <w:rsid w:val="006F50AC"/>
    <w:rsid w:val="006F74A2"/>
    <w:rsid w:val="00700211"/>
    <w:rsid w:val="007011FA"/>
    <w:rsid w:val="00703268"/>
    <w:rsid w:val="0070466B"/>
    <w:rsid w:val="00704C41"/>
    <w:rsid w:val="00705B6C"/>
    <w:rsid w:val="0071126F"/>
    <w:rsid w:val="00716716"/>
    <w:rsid w:val="007174FB"/>
    <w:rsid w:val="0072193C"/>
    <w:rsid w:val="00722195"/>
    <w:rsid w:val="00722DF3"/>
    <w:rsid w:val="0072337C"/>
    <w:rsid w:val="007248DD"/>
    <w:rsid w:val="00725DC9"/>
    <w:rsid w:val="007353B7"/>
    <w:rsid w:val="007401A6"/>
    <w:rsid w:val="007411E7"/>
    <w:rsid w:val="007421F7"/>
    <w:rsid w:val="00743992"/>
    <w:rsid w:val="00746E50"/>
    <w:rsid w:val="00753B62"/>
    <w:rsid w:val="00756541"/>
    <w:rsid w:val="007577C1"/>
    <w:rsid w:val="00762951"/>
    <w:rsid w:val="00762D59"/>
    <w:rsid w:val="007645DA"/>
    <w:rsid w:val="00764E4E"/>
    <w:rsid w:val="00767AB0"/>
    <w:rsid w:val="00767CFD"/>
    <w:rsid w:val="00767F64"/>
    <w:rsid w:val="00770547"/>
    <w:rsid w:val="00770D97"/>
    <w:rsid w:val="00774CBB"/>
    <w:rsid w:val="00776102"/>
    <w:rsid w:val="00776C9C"/>
    <w:rsid w:val="00777225"/>
    <w:rsid w:val="00782F7F"/>
    <w:rsid w:val="00782FB3"/>
    <w:rsid w:val="00785516"/>
    <w:rsid w:val="00786FDC"/>
    <w:rsid w:val="007870B5"/>
    <w:rsid w:val="00787A85"/>
    <w:rsid w:val="00791FF4"/>
    <w:rsid w:val="00793217"/>
    <w:rsid w:val="007934D7"/>
    <w:rsid w:val="007936C6"/>
    <w:rsid w:val="007945EC"/>
    <w:rsid w:val="0079609E"/>
    <w:rsid w:val="00797651"/>
    <w:rsid w:val="007A0D07"/>
    <w:rsid w:val="007A1C3A"/>
    <w:rsid w:val="007A7856"/>
    <w:rsid w:val="007B045B"/>
    <w:rsid w:val="007B0F2F"/>
    <w:rsid w:val="007B225A"/>
    <w:rsid w:val="007B3428"/>
    <w:rsid w:val="007B3443"/>
    <w:rsid w:val="007B74D2"/>
    <w:rsid w:val="007C0A55"/>
    <w:rsid w:val="007C1F4B"/>
    <w:rsid w:val="007C406F"/>
    <w:rsid w:val="007C41F5"/>
    <w:rsid w:val="007C44FF"/>
    <w:rsid w:val="007D117D"/>
    <w:rsid w:val="007D50B2"/>
    <w:rsid w:val="007E1202"/>
    <w:rsid w:val="007E1648"/>
    <w:rsid w:val="007E1CF4"/>
    <w:rsid w:val="007E4F5C"/>
    <w:rsid w:val="007F0B9C"/>
    <w:rsid w:val="007F12DF"/>
    <w:rsid w:val="007F25BD"/>
    <w:rsid w:val="007F47CF"/>
    <w:rsid w:val="007F5054"/>
    <w:rsid w:val="00801CD4"/>
    <w:rsid w:val="008041DD"/>
    <w:rsid w:val="0080452C"/>
    <w:rsid w:val="00805924"/>
    <w:rsid w:val="008079BF"/>
    <w:rsid w:val="00807B60"/>
    <w:rsid w:val="00807BD8"/>
    <w:rsid w:val="00807C11"/>
    <w:rsid w:val="008105F4"/>
    <w:rsid w:val="008119D8"/>
    <w:rsid w:val="00811E93"/>
    <w:rsid w:val="008125CE"/>
    <w:rsid w:val="008146E6"/>
    <w:rsid w:val="00814C5F"/>
    <w:rsid w:val="008332E6"/>
    <w:rsid w:val="0083409E"/>
    <w:rsid w:val="008347C5"/>
    <w:rsid w:val="008353DC"/>
    <w:rsid w:val="00835DF3"/>
    <w:rsid w:val="008402AB"/>
    <w:rsid w:val="00840C50"/>
    <w:rsid w:val="00842221"/>
    <w:rsid w:val="00843C4D"/>
    <w:rsid w:val="008455D2"/>
    <w:rsid w:val="0085280D"/>
    <w:rsid w:val="00854C4A"/>
    <w:rsid w:val="00855939"/>
    <w:rsid w:val="00855A48"/>
    <w:rsid w:val="00857098"/>
    <w:rsid w:val="00857D9B"/>
    <w:rsid w:val="00860824"/>
    <w:rsid w:val="0086088F"/>
    <w:rsid w:val="00860F09"/>
    <w:rsid w:val="00862247"/>
    <w:rsid w:val="0086374F"/>
    <w:rsid w:val="0086458C"/>
    <w:rsid w:val="00865982"/>
    <w:rsid w:val="008677F8"/>
    <w:rsid w:val="00867CBC"/>
    <w:rsid w:val="0087311C"/>
    <w:rsid w:val="0087312B"/>
    <w:rsid w:val="00877623"/>
    <w:rsid w:val="00880FE3"/>
    <w:rsid w:val="00885AF3"/>
    <w:rsid w:val="008861DB"/>
    <w:rsid w:val="00886B5B"/>
    <w:rsid w:val="00887BC0"/>
    <w:rsid w:val="00890E4E"/>
    <w:rsid w:val="00892CEA"/>
    <w:rsid w:val="00893FA5"/>
    <w:rsid w:val="00895ED3"/>
    <w:rsid w:val="00896A7D"/>
    <w:rsid w:val="00896D80"/>
    <w:rsid w:val="00896F45"/>
    <w:rsid w:val="008975C2"/>
    <w:rsid w:val="00897F0A"/>
    <w:rsid w:val="008A29C6"/>
    <w:rsid w:val="008A3724"/>
    <w:rsid w:val="008A37A0"/>
    <w:rsid w:val="008A3D86"/>
    <w:rsid w:val="008A4369"/>
    <w:rsid w:val="008A6A41"/>
    <w:rsid w:val="008A7137"/>
    <w:rsid w:val="008A73A6"/>
    <w:rsid w:val="008A752D"/>
    <w:rsid w:val="008B0BEF"/>
    <w:rsid w:val="008B108E"/>
    <w:rsid w:val="008B4109"/>
    <w:rsid w:val="008B44D1"/>
    <w:rsid w:val="008B58D3"/>
    <w:rsid w:val="008B666D"/>
    <w:rsid w:val="008B726D"/>
    <w:rsid w:val="008C4D65"/>
    <w:rsid w:val="008C5808"/>
    <w:rsid w:val="008C6277"/>
    <w:rsid w:val="008C686F"/>
    <w:rsid w:val="008C69E6"/>
    <w:rsid w:val="008C791C"/>
    <w:rsid w:val="008C79E3"/>
    <w:rsid w:val="008C7A2C"/>
    <w:rsid w:val="008D1F8C"/>
    <w:rsid w:val="008D43F0"/>
    <w:rsid w:val="008D6A30"/>
    <w:rsid w:val="008D70A1"/>
    <w:rsid w:val="008D7E6C"/>
    <w:rsid w:val="008D7F8E"/>
    <w:rsid w:val="008E1CF1"/>
    <w:rsid w:val="008E4600"/>
    <w:rsid w:val="008E4864"/>
    <w:rsid w:val="008E5280"/>
    <w:rsid w:val="008F194F"/>
    <w:rsid w:val="008F23BA"/>
    <w:rsid w:val="008F707F"/>
    <w:rsid w:val="008F7AF0"/>
    <w:rsid w:val="0090427D"/>
    <w:rsid w:val="009049B0"/>
    <w:rsid w:val="00907630"/>
    <w:rsid w:val="00907746"/>
    <w:rsid w:val="00912290"/>
    <w:rsid w:val="009179C7"/>
    <w:rsid w:val="009213DC"/>
    <w:rsid w:val="00922713"/>
    <w:rsid w:val="0092514C"/>
    <w:rsid w:val="00925743"/>
    <w:rsid w:val="00926249"/>
    <w:rsid w:val="00927B12"/>
    <w:rsid w:val="00927DD5"/>
    <w:rsid w:val="00933314"/>
    <w:rsid w:val="00936376"/>
    <w:rsid w:val="00936625"/>
    <w:rsid w:val="00936727"/>
    <w:rsid w:val="0094190F"/>
    <w:rsid w:val="00941D9D"/>
    <w:rsid w:val="00941E8C"/>
    <w:rsid w:val="00942036"/>
    <w:rsid w:val="009435D7"/>
    <w:rsid w:val="00945CAD"/>
    <w:rsid w:val="00946101"/>
    <w:rsid w:val="009471A6"/>
    <w:rsid w:val="00950339"/>
    <w:rsid w:val="0095072D"/>
    <w:rsid w:val="009516B9"/>
    <w:rsid w:val="00951E05"/>
    <w:rsid w:val="00953FE9"/>
    <w:rsid w:val="00967314"/>
    <w:rsid w:val="00967401"/>
    <w:rsid w:val="00967C83"/>
    <w:rsid w:val="009735A6"/>
    <w:rsid w:val="00975B60"/>
    <w:rsid w:val="009773DF"/>
    <w:rsid w:val="00977777"/>
    <w:rsid w:val="00977B4E"/>
    <w:rsid w:val="00981747"/>
    <w:rsid w:val="00983412"/>
    <w:rsid w:val="00985E9D"/>
    <w:rsid w:val="0099036A"/>
    <w:rsid w:val="00990981"/>
    <w:rsid w:val="00991648"/>
    <w:rsid w:val="00992245"/>
    <w:rsid w:val="009A2431"/>
    <w:rsid w:val="009A3D9F"/>
    <w:rsid w:val="009A6D15"/>
    <w:rsid w:val="009A707D"/>
    <w:rsid w:val="009A79B7"/>
    <w:rsid w:val="009B0EFA"/>
    <w:rsid w:val="009B1069"/>
    <w:rsid w:val="009B1625"/>
    <w:rsid w:val="009B35A4"/>
    <w:rsid w:val="009B414D"/>
    <w:rsid w:val="009B6E50"/>
    <w:rsid w:val="009C19F3"/>
    <w:rsid w:val="009C1C67"/>
    <w:rsid w:val="009C5B82"/>
    <w:rsid w:val="009C787A"/>
    <w:rsid w:val="009D1570"/>
    <w:rsid w:val="009D3D00"/>
    <w:rsid w:val="009D433B"/>
    <w:rsid w:val="009E0A2C"/>
    <w:rsid w:val="009E1A47"/>
    <w:rsid w:val="009E4DFE"/>
    <w:rsid w:val="009F1B63"/>
    <w:rsid w:val="009F2AD7"/>
    <w:rsid w:val="009F42EE"/>
    <w:rsid w:val="009F6A61"/>
    <w:rsid w:val="009F7DA6"/>
    <w:rsid w:val="00A01A63"/>
    <w:rsid w:val="00A02121"/>
    <w:rsid w:val="00A03706"/>
    <w:rsid w:val="00A03D5B"/>
    <w:rsid w:val="00A05EE7"/>
    <w:rsid w:val="00A10A72"/>
    <w:rsid w:val="00A1115B"/>
    <w:rsid w:val="00A1204A"/>
    <w:rsid w:val="00A152FF"/>
    <w:rsid w:val="00A16314"/>
    <w:rsid w:val="00A216CB"/>
    <w:rsid w:val="00A220C3"/>
    <w:rsid w:val="00A22A2E"/>
    <w:rsid w:val="00A22BFF"/>
    <w:rsid w:val="00A232D8"/>
    <w:rsid w:val="00A2404E"/>
    <w:rsid w:val="00A26387"/>
    <w:rsid w:val="00A26689"/>
    <w:rsid w:val="00A31713"/>
    <w:rsid w:val="00A3235F"/>
    <w:rsid w:val="00A3251B"/>
    <w:rsid w:val="00A33E65"/>
    <w:rsid w:val="00A34BCB"/>
    <w:rsid w:val="00A3589C"/>
    <w:rsid w:val="00A3634C"/>
    <w:rsid w:val="00A36DA0"/>
    <w:rsid w:val="00A40684"/>
    <w:rsid w:val="00A411AF"/>
    <w:rsid w:val="00A41A0E"/>
    <w:rsid w:val="00A44164"/>
    <w:rsid w:val="00A44806"/>
    <w:rsid w:val="00A47B8F"/>
    <w:rsid w:val="00A50223"/>
    <w:rsid w:val="00A50A42"/>
    <w:rsid w:val="00A524D8"/>
    <w:rsid w:val="00A52DC2"/>
    <w:rsid w:val="00A543BD"/>
    <w:rsid w:val="00A54BC9"/>
    <w:rsid w:val="00A5671D"/>
    <w:rsid w:val="00A56F8A"/>
    <w:rsid w:val="00A57C25"/>
    <w:rsid w:val="00A66558"/>
    <w:rsid w:val="00A66F48"/>
    <w:rsid w:val="00A71A45"/>
    <w:rsid w:val="00A7556B"/>
    <w:rsid w:val="00A770CF"/>
    <w:rsid w:val="00A8210C"/>
    <w:rsid w:val="00A822DA"/>
    <w:rsid w:val="00A8355C"/>
    <w:rsid w:val="00A84C24"/>
    <w:rsid w:val="00A85B0F"/>
    <w:rsid w:val="00A87534"/>
    <w:rsid w:val="00A87A28"/>
    <w:rsid w:val="00A920DF"/>
    <w:rsid w:val="00A931F6"/>
    <w:rsid w:val="00A94938"/>
    <w:rsid w:val="00A955A8"/>
    <w:rsid w:val="00A956C6"/>
    <w:rsid w:val="00A97BCB"/>
    <w:rsid w:val="00AA1721"/>
    <w:rsid w:val="00AA1DCD"/>
    <w:rsid w:val="00AA373A"/>
    <w:rsid w:val="00AA5413"/>
    <w:rsid w:val="00AA580A"/>
    <w:rsid w:val="00AA732E"/>
    <w:rsid w:val="00AB2140"/>
    <w:rsid w:val="00AB2BBF"/>
    <w:rsid w:val="00AB5BDE"/>
    <w:rsid w:val="00AB645B"/>
    <w:rsid w:val="00AC00D7"/>
    <w:rsid w:val="00AC00DD"/>
    <w:rsid w:val="00AC0732"/>
    <w:rsid w:val="00AC08AE"/>
    <w:rsid w:val="00AC0F0D"/>
    <w:rsid w:val="00AC132D"/>
    <w:rsid w:val="00AC3B0A"/>
    <w:rsid w:val="00AC4733"/>
    <w:rsid w:val="00AC5236"/>
    <w:rsid w:val="00AC548F"/>
    <w:rsid w:val="00AC54B8"/>
    <w:rsid w:val="00AD0753"/>
    <w:rsid w:val="00AD0E8A"/>
    <w:rsid w:val="00AD43D3"/>
    <w:rsid w:val="00AD5279"/>
    <w:rsid w:val="00AD5DCE"/>
    <w:rsid w:val="00AD605C"/>
    <w:rsid w:val="00AD6FB9"/>
    <w:rsid w:val="00AD7588"/>
    <w:rsid w:val="00AE08E3"/>
    <w:rsid w:val="00AE128D"/>
    <w:rsid w:val="00AE1488"/>
    <w:rsid w:val="00AE1950"/>
    <w:rsid w:val="00AE1B03"/>
    <w:rsid w:val="00AE25F4"/>
    <w:rsid w:val="00AE405E"/>
    <w:rsid w:val="00AF1CFB"/>
    <w:rsid w:val="00AF1FEB"/>
    <w:rsid w:val="00AF6012"/>
    <w:rsid w:val="00AF7B07"/>
    <w:rsid w:val="00B01C55"/>
    <w:rsid w:val="00B02B5E"/>
    <w:rsid w:val="00B0344D"/>
    <w:rsid w:val="00B0592E"/>
    <w:rsid w:val="00B07113"/>
    <w:rsid w:val="00B075B3"/>
    <w:rsid w:val="00B10D5F"/>
    <w:rsid w:val="00B125C2"/>
    <w:rsid w:val="00B12B1A"/>
    <w:rsid w:val="00B1688C"/>
    <w:rsid w:val="00B20BDE"/>
    <w:rsid w:val="00B2177E"/>
    <w:rsid w:val="00B2248F"/>
    <w:rsid w:val="00B24AAA"/>
    <w:rsid w:val="00B262BF"/>
    <w:rsid w:val="00B3031F"/>
    <w:rsid w:val="00B30673"/>
    <w:rsid w:val="00B30C4E"/>
    <w:rsid w:val="00B31238"/>
    <w:rsid w:val="00B31809"/>
    <w:rsid w:val="00B326CD"/>
    <w:rsid w:val="00B32834"/>
    <w:rsid w:val="00B35C50"/>
    <w:rsid w:val="00B41B36"/>
    <w:rsid w:val="00B420D2"/>
    <w:rsid w:val="00B42745"/>
    <w:rsid w:val="00B42EDD"/>
    <w:rsid w:val="00B43346"/>
    <w:rsid w:val="00B45D4B"/>
    <w:rsid w:val="00B51218"/>
    <w:rsid w:val="00B52268"/>
    <w:rsid w:val="00B53A27"/>
    <w:rsid w:val="00B557E9"/>
    <w:rsid w:val="00B60C4C"/>
    <w:rsid w:val="00B60CFD"/>
    <w:rsid w:val="00B625B9"/>
    <w:rsid w:val="00B62BF8"/>
    <w:rsid w:val="00B63310"/>
    <w:rsid w:val="00B63BFD"/>
    <w:rsid w:val="00B63DF9"/>
    <w:rsid w:val="00B6597B"/>
    <w:rsid w:val="00B6620F"/>
    <w:rsid w:val="00B66D88"/>
    <w:rsid w:val="00B67F6B"/>
    <w:rsid w:val="00B71633"/>
    <w:rsid w:val="00B7236C"/>
    <w:rsid w:val="00B73B63"/>
    <w:rsid w:val="00B73E52"/>
    <w:rsid w:val="00B81214"/>
    <w:rsid w:val="00B826C1"/>
    <w:rsid w:val="00B8273B"/>
    <w:rsid w:val="00B837C8"/>
    <w:rsid w:val="00B84910"/>
    <w:rsid w:val="00B85465"/>
    <w:rsid w:val="00B85F9F"/>
    <w:rsid w:val="00B90F81"/>
    <w:rsid w:val="00B91B20"/>
    <w:rsid w:val="00B92FD6"/>
    <w:rsid w:val="00B9322D"/>
    <w:rsid w:val="00B95329"/>
    <w:rsid w:val="00B9569C"/>
    <w:rsid w:val="00B96591"/>
    <w:rsid w:val="00B969DE"/>
    <w:rsid w:val="00B97D6F"/>
    <w:rsid w:val="00BA0BB5"/>
    <w:rsid w:val="00BA17B5"/>
    <w:rsid w:val="00BA27DC"/>
    <w:rsid w:val="00BA2DF8"/>
    <w:rsid w:val="00BA30DE"/>
    <w:rsid w:val="00BA3AC8"/>
    <w:rsid w:val="00BA3E0A"/>
    <w:rsid w:val="00BA4043"/>
    <w:rsid w:val="00BA5D6D"/>
    <w:rsid w:val="00BA6545"/>
    <w:rsid w:val="00BB0C65"/>
    <w:rsid w:val="00BB5446"/>
    <w:rsid w:val="00BB5B0C"/>
    <w:rsid w:val="00BB6BA7"/>
    <w:rsid w:val="00BC3A1E"/>
    <w:rsid w:val="00BC4949"/>
    <w:rsid w:val="00BC5690"/>
    <w:rsid w:val="00BC68FA"/>
    <w:rsid w:val="00BC77C9"/>
    <w:rsid w:val="00BC77D9"/>
    <w:rsid w:val="00BC7BB8"/>
    <w:rsid w:val="00BD138D"/>
    <w:rsid w:val="00BD273D"/>
    <w:rsid w:val="00BD28CC"/>
    <w:rsid w:val="00BD3161"/>
    <w:rsid w:val="00BD6F69"/>
    <w:rsid w:val="00BE1424"/>
    <w:rsid w:val="00BE266D"/>
    <w:rsid w:val="00BE6073"/>
    <w:rsid w:val="00BE657A"/>
    <w:rsid w:val="00BF36E1"/>
    <w:rsid w:val="00BF57C4"/>
    <w:rsid w:val="00BF5CAF"/>
    <w:rsid w:val="00BF656E"/>
    <w:rsid w:val="00C03FB7"/>
    <w:rsid w:val="00C04796"/>
    <w:rsid w:val="00C057E6"/>
    <w:rsid w:val="00C057F1"/>
    <w:rsid w:val="00C16987"/>
    <w:rsid w:val="00C16CAA"/>
    <w:rsid w:val="00C16EDA"/>
    <w:rsid w:val="00C22034"/>
    <w:rsid w:val="00C26D02"/>
    <w:rsid w:val="00C2777A"/>
    <w:rsid w:val="00C319D0"/>
    <w:rsid w:val="00C31F46"/>
    <w:rsid w:val="00C334F9"/>
    <w:rsid w:val="00C34053"/>
    <w:rsid w:val="00C3430E"/>
    <w:rsid w:val="00C34358"/>
    <w:rsid w:val="00C34E4D"/>
    <w:rsid w:val="00C354CE"/>
    <w:rsid w:val="00C40113"/>
    <w:rsid w:val="00C4072E"/>
    <w:rsid w:val="00C44513"/>
    <w:rsid w:val="00C44699"/>
    <w:rsid w:val="00C46773"/>
    <w:rsid w:val="00C467D2"/>
    <w:rsid w:val="00C5075D"/>
    <w:rsid w:val="00C51E91"/>
    <w:rsid w:val="00C521E6"/>
    <w:rsid w:val="00C56E47"/>
    <w:rsid w:val="00C57F87"/>
    <w:rsid w:val="00C6089B"/>
    <w:rsid w:val="00C61940"/>
    <w:rsid w:val="00C6457F"/>
    <w:rsid w:val="00C65F24"/>
    <w:rsid w:val="00C671DF"/>
    <w:rsid w:val="00C6751D"/>
    <w:rsid w:val="00C7285A"/>
    <w:rsid w:val="00C73465"/>
    <w:rsid w:val="00C759AB"/>
    <w:rsid w:val="00C7624B"/>
    <w:rsid w:val="00C76DF2"/>
    <w:rsid w:val="00C7788C"/>
    <w:rsid w:val="00C816F5"/>
    <w:rsid w:val="00C8258D"/>
    <w:rsid w:val="00C8457F"/>
    <w:rsid w:val="00C865CE"/>
    <w:rsid w:val="00C87D41"/>
    <w:rsid w:val="00C87E64"/>
    <w:rsid w:val="00C91B1B"/>
    <w:rsid w:val="00C9256C"/>
    <w:rsid w:val="00C926BF"/>
    <w:rsid w:val="00C93EB9"/>
    <w:rsid w:val="00C94270"/>
    <w:rsid w:val="00C94BE9"/>
    <w:rsid w:val="00C954D7"/>
    <w:rsid w:val="00C971CB"/>
    <w:rsid w:val="00CA101C"/>
    <w:rsid w:val="00CA5E1E"/>
    <w:rsid w:val="00CA61B9"/>
    <w:rsid w:val="00CA6973"/>
    <w:rsid w:val="00CB66D6"/>
    <w:rsid w:val="00CB6838"/>
    <w:rsid w:val="00CB6DB2"/>
    <w:rsid w:val="00CC0D3F"/>
    <w:rsid w:val="00CC12B2"/>
    <w:rsid w:val="00CC3C71"/>
    <w:rsid w:val="00CC50C2"/>
    <w:rsid w:val="00CC7A55"/>
    <w:rsid w:val="00CC7D3F"/>
    <w:rsid w:val="00CD1B9E"/>
    <w:rsid w:val="00CD2FD2"/>
    <w:rsid w:val="00CD3E50"/>
    <w:rsid w:val="00CD5582"/>
    <w:rsid w:val="00CE111A"/>
    <w:rsid w:val="00CE4367"/>
    <w:rsid w:val="00CE49CB"/>
    <w:rsid w:val="00CE5871"/>
    <w:rsid w:val="00CE6592"/>
    <w:rsid w:val="00CF1BAD"/>
    <w:rsid w:val="00CF459F"/>
    <w:rsid w:val="00D017C8"/>
    <w:rsid w:val="00D02A71"/>
    <w:rsid w:val="00D0503D"/>
    <w:rsid w:val="00D05D75"/>
    <w:rsid w:val="00D0728C"/>
    <w:rsid w:val="00D07899"/>
    <w:rsid w:val="00D13784"/>
    <w:rsid w:val="00D16388"/>
    <w:rsid w:val="00D16D22"/>
    <w:rsid w:val="00D17AFD"/>
    <w:rsid w:val="00D22A9E"/>
    <w:rsid w:val="00D23EC7"/>
    <w:rsid w:val="00D24FFA"/>
    <w:rsid w:val="00D25AAA"/>
    <w:rsid w:val="00D27253"/>
    <w:rsid w:val="00D27B17"/>
    <w:rsid w:val="00D30048"/>
    <w:rsid w:val="00D30B36"/>
    <w:rsid w:val="00D32169"/>
    <w:rsid w:val="00D325C0"/>
    <w:rsid w:val="00D333CC"/>
    <w:rsid w:val="00D34A40"/>
    <w:rsid w:val="00D36BD5"/>
    <w:rsid w:val="00D37E81"/>
    <w:rsid w:val="00D40B67"/>
    <w:rsid w:val="00D42869"/>
    <w:rsid w:val="00D42F81"/>
    <w:rsid w:val="00D438D0"/>
    <w:rsid w:val="00D55253"/>
    <w:rsid w:val="00D554AB"/>
    <w:rsid w:val="00D56841"/>
    <w:rsid w:val="00D56A40"/>
    <w:rsid w:val="00D56A5F"/>
    <w:rsid w:val="00D611B6"/>
    <w:rsid w:val="00D6277B"/>
    <w:rsid w:val="00D63127"/>
    <w:rsid w:val="00D63DB4"/>
    <w:rsid w:val="00D661DB"/>
    <w:rsid w:val="00D71F45"/>
    <w:rsid w:val="00D74831"/>
    <w:rsid w:val="00D76B2B"/>
    <w:rsid w:val="00D80904"/>
    <w:rsid w:val="00D828F6"/>
    <w:rsid w:val="00D84693"/>
    <w:rsid w:val="00D854E4"/>
    <w:rsid w:val="00D85EC0"/>
    <w:rsid w:val="00D87152"/>
    <w:rsid w:val="00D90FBC"/>
    <w:rsid w:val="00D91B97"/>
    <w:rsid w:val="00D97723"/>
    <w:rsid w:val="00DA7D9A"/>
    <w:rsid w:val="00DB0A3F"/>
    <w:rsid w:val="00DB27EE"/>
    <w:rsid w:val="00DB28FB"/>
    <w:rsid w:val="00DB6A3E"/>
    <w:rsid w:val="00DC0EC3"/>
    <w:rsid w:val="00DC0F65"/>
    <w:rsid w:val="00DC1048"/>
    <w:rsid w:val="00DC237F"/>
    <w:rsid w:val="00DC2CA0"/>
    <w:rsid w:val="00DC2D08"/>
    <w:rsid w:val="00DC3F93"/>
    <w:rsid w:val="00DC45CF"/>
    <w:rsid w:val="00DC4E72"/>
    <w:rsid w:val="00DC50F4"/>
    <w:rsid w:val="00DC656A"/>
    <w:rsid w:val="00DC7131"/>
    <w:rsid w:val="00DD11B5"/>
    <w:rsid w:val="00DD3C7B"/>
    <w:rsid w:val="00DD6356"/>
    <w:rsid w:val="00DE01DB"/>
    <w:rsid w:val="00DE581F"/>
    <w:rsid w:val="00DE66A3"/>
    <w:rsid w:val="00DE6E79"/>
    <w:rsid w:val="00DE7EBD"/>
    <w:rsid w:val="00DF039A"/>
    <w:rsid w:val="00DF06E0"/>
    <w:rsid w:val="00DF0D55"/>
    <w:rsid w:val="00DF18BA"/>
    <w:rsid w:val="00DF2301"/>
    <w:rsid w:val="00DF490F"/>
    <w:rsid w:val="00E0314A"/>
    <w:rsid w:val="00E07B73"/>
    <w:rsid w:val="00E10ABD"/>
    <w:rsid w:val="00E117BE"/>
    <w:rsid w:val="00E13A77"/>
    <w:rsid w:val="00E15966"/>
    <w:rsid w:val="00E15CBE"/>
    <w:rsid w:val="00E20FDD"/>
    <w:rsid w:val="00E22645"/>
    <w:rsid w:val="00E23AA0"/>
    <w:rsid w:val="00E25DE9"/>
    <w:rsid w:val="00E26B5D"/>
    <w:rsid w:val="00E30159"/>
    <w:rsid w:val="00E31982"/>
    <w:rsid w:val="00E33F76"/>
    <w:rsid w:val="00E3428A"/>
    <w:rsid w:val="00E37A09"/>
    <w:rsid w:val="00E4318A"/>
    <w:rsid w:val="00E438F0"/>
    <w:rsid w:val="00E44BA8"/>
    <w:rsid w:val="00E44F2E"/>
    <w:rsid w:val="00E457B5"/>
    <w:rsid w:val="00E50580"/>
    <w:rsid w:val="00E5193F"/>
    <w:rsid w:val="00E52078"/>
    <w:rsid w:val="00E52940"/>
    <w:rsid w:val="00E52D2C"/>
    <w:rsid w:val="00E542DA"/>
    <w:rsid w:val="00E5507C"/>
    <w:rsid w:val="00E56712"/>
    <w:rsid w:val="00E579A9"/>
    <w:rsid w:val="00E57F04"/>
    <w:rsid w:val="00E605A7"/>
    <w:rsid w:val="00E613CC"/>
    <w:rsid w:val="00E624F9"/>
    <w:rsid w:val="00E705F0"/>
    <w:rsid w:val="00E71885"/>
    <w:rsid w:val="00E72DC6"/>
    <w:rsid w:val="00E73D09"/>
    <w:rsid w:val="00E75E31"/>
    <w:rsid w:val="00E774AF"/>
    <w:rsid w:val="00E77787"/>
    <w:rsid w:val="00E77D87"/>
    <w:rsid w:val="00E812C0"/>
    <w:rsid w:val="00E8444A"/>
    <w:rsid w:val="00E86DB5"/>
    <w:rsid w:val="00E9023A"/>
    <w:rsid w:val="00E916E4"/>
    <w:rsid w:val="00E926A5"/>
    <w:rsid w:val="00E93037"/>
    <w:rsid w:val="00E9470E"/>
    <w:rsid w:val="00E962B4"/>
    <w:rsid w:val="00EA389E"/>
    <w:rsid w:val="00EA3A24"/>
    <w:rsid w:val="00EA4385"/>
    <w:rsid w:val="00EA62C4"/>
    <w:rsid w:val="00EA6740"/>
    <w:rsid w:val="00EB00FF"/>
    <w:rsid w:val="00EB0312"/>
    <w:rsid w:val="00EB05EC"/>
    <w:rsid w:val="00EB2878"/>
    <w:rsid w:val="00EB51FE"/>
    <w:rsid w:val="00EB5A15"/>
    <w:rsid w:val="00EB61A8"/>
    <w:rsid w:val="00EB76C8"/>
    <w:rsid w:val="00EB7708"/>
    <w:rsid w:val="00EC11CA"/>
    <w:rsid w:val="00EC289D"/>
    <w:rsid w:val="00EC41E0"/>
    <w:rsid w:val="00EC5520"/>
    <w:rsid w:val="00EC56F0"/>
    <w:rsid w:val="00ED1888"/>
    <w:rsid w:val="00ED19E6"/>
    <w:rsid w:val="00ED1CD1"/>
    <w:rsid w:val="00ED41AF"/>
    <w:rsid w:val="00ED4592"/>
    <w:rsid w:val="00ED74FD"/>
    <w:rsid w:val="00ED7A8A"/>
    <w:rsid w:val="00EE4C55"/>
    <w:rsid w:val="00EF1C85"/>
    <w:rsid w:val="00EF3011"/>
    <w:rsid w:val="00EF3C4E"/>
    <w:rsid w:val="00EF3F81"/>
    <w:rsid w:val="00EF49E7"/>
    <w:rsid w:val="00EF5BF2"/>
    <w:rsid w:val="00EF5E91"/>
    <w:rsid w:val="00EF75F0"/>
    <w:rsid w:val="00F0020D"/>
    <w:rsid w:val="00F037BD"/>
    <w:rsid w:val="00F03F1E"/>
    <w:rsid w:val="00F06094"/>
    <w:rsid w:val="00F06297"/>
    <w:rsid w:val="00F07D40"/>
    <w:rsid w:val="00F1363D"/>
    <w:rsid w:val="00F153E2"/>
    <w:rsid w:val="00F20FCF"/>
    <w:rsid w:val="00F237A4"/>
    <w:rsid w:val="00F24C2E"/>
    <w:rsid w:val="00F27A37"/>
    <w:rsid w:val="00F30847"/>
    <w:rsid w:val="00F30E5D"/>
    <w:rsid w:val="00F36148"/>
    <w:rsid w:val="00F3675D"/>
    <w:rsid w:val="00F41B17"/>
    <w:rsid w:val="00F41B27"/>
    <w:rsid w:val="00F41E71"/>
    <w:rsid w:val="00F443A4"/>
    <w:rsid w:val="00F44819"/>
    <w:rsid w:val="00F45324"/>
    <w:rsid w:val="00F45DE1"/>
    <w:rsid w:val="00F46CBE"/>
    <w:rsid w:val="00F472D4"/>
    <w:rsid w:val="00F51E7E"/>
    <w:rsid w:val="00F52C63"/>
    <w:rsid w:val="00F545E4"/>
    <w:rsid w:val="00F62151"/>
    <w:rsid w:val="00F7341A"/>
    <w:rsid w:val="00F80200"/>
    <w:rsid w:val="00F81575"/>
    <w:rsid w:val="00F81B18"/>
    <w:rsid w:val="00F872E6"/>
    <w:rsid w:val="00F903F5"/>
    <w:rsid w:val="00F9247A"/>
    <w:rsid w:val="00F93C3A"/>
    <w:rsid w:val="00F9469C"/>
    <w:rsid w:val="00F95ED5"/>
    <w:rsid w:val="00FA191F"/>
    <w:rsid w:val="00FA4AC7"/>
    <w:rsid w:val="00FA4D77"/>
    <w:rsid w:val="00FA5181"/>
    <w:rsid w:val="00FA6F6F"/>
    <w:rsid w:val="00FB579E"/>
    <w:rsid w:val="00FB607C"/>
    <w:rsid w:val="00FC00C1"/>
    <w:rsid w:val="00FC1394"/>
    <w:rsid w:val="00FC159E"/>
    <w:rsid w:val="00FC1BF1"/>
    <w:rsid w:val="00FC2AC2"/>
    <w:rsid w:val="00FC589E"/>
    <w:rsid w:val="00FC5C38"/>
    <w:rsid w:val="00FC64CD"/>
    <w:rsid w:val="00FC66E3"/>
    <w:rsid w:val="00FD0366"/>
    <w:rsid w:val="00FD118A"/>
    <w:rsid w:val="00FD21FE"/>
    <w:rsid w:val="00FD3356"/>
    <w:rsid w:val="00FD48B1"/>
    <w:rsid w:val="00FE1D7F"/>
    <w:rsid w:val="00FE2329"/>
    <w:rsid w:val="00FE3003"/>
    <w:rsid w:val="00FE4E25"/>
    <w:rsid w:val="00FF090C"/>
    <w:rsid w:val="00FF105A"/>
    <w:rsid w:val="00FF1069"/>
    <w:rsid w:val="00FF4889"/>
    <w:rsid w:val="00FF4F0E"/>
    <w:rsid w:val="00FF6844"/>
    <w:rsid w:val="00FF7A40"/>
    <w:rsid w:val="0EFFA239"/>
    <w:rsid w:val="1FFFDFE4"/>
    <w:rsid w:val="2DFEEF02"/>
    <w:rsid w:val="37DE1B38"/>
    <w:rsid w:val="38FCD1B1"/>
    <w:rsid w:val="3B5FED6A"/>
    <w:rsid w:val="3D7E90AA"/>
    <w:rsid w:val="4FD9EAA7"/>
    <w:rsid w:val="536F657F"/>
    <w:rsid w:val="59AF3638"/>
    <w:rsid w:val="5B7F64A5"/>
    <w:rsid w:val="5DB69F04"/>
    <w:rsid w:val="5E7F13C9"/>
    <w:rsid w:val="5F7F0998"/>
    <w:rsid w:val="5FFFF523"/>
    <w:rsid w:val="659F8A87"/>
    <w:rsid w:val="67FAB8DB"/>
    <w:rsid w:val="6B7F6469"/>
    <w:rsid w:val="6BB9A597"/>
    <w:rsid w:val="6D5F7137"/>
    <w:rsid w:val="6F789FF2"/>
    <w:rsid w:val="6FFF8423"/>
    <w:rsid w:val="76FC9017"/>
    <w:rsid w:val="78031D0F"/>
    <w:rsid w:val="7ABF05DE"/>
    <w:rsid w:val="7BBDD9CE"/>
    <w:rsid w:val="7E7C031A"/>
    <w:rsid w:val="7EDF289E"/>
    <w:rsid w:val="7EFF9B3E"/>
    <w:rsid w:val="7F8B4D53"/>
    <w:rsid w:val="7FAD3C99"/>
    <w:rsid w:val="7FBFB914"/>
    <w:rsid w:val="7FFE00BB"/>
    <w:rsid w:val="7FFF3F1F"/>
    <w:rsid w:val="97B73F64"/>
    <w:rsid w:val="9DF3A723"/>
    <w:rsid w:val="AFFF497B"/>
    <w:rsid w:val="B7E9B713"/>
    <w:rsid w:val="BB3DA0CC"/>
    <w:rsid w:val="BBDD3258"/>
    <w:rsid w:val="BDFFB2B0"/>
    <w:rsid w:val="BE67353D"/>
    <w:rsid w:val="BEF7EA65"/>
    <w:rsid w:val="BF35266A"/>
    <w:rsid w:val="BF739F92"/>
    <w:rsid w:val="C6BF8CEB"/>
    <w:rsid w:val="CDED5AC0"/>
    <w:rsid w:val="DD3FF638"/>
    <w:rsid w:val="EBFB0FB1"/>
    <w:rsid w:val="ED1DDC36"/>
    <w:rsid w:val="EFEE53AF"/>
    <w:rsid w:val="F67F1EE9"/>
    <w:rsid w:val="F7D6B17F"/>
    <w:rsid w:val="FB5F2CF2"/>
    <w:rsid w:val="FBBF371F"/>
    <w:rsid w:val="FC0EDB66"/>
    <w:rsid w:val="FDBAAB37"/>
    <w:rsid w:val="FDE7E16F"/>
    <w:rsid w:val="FDF1451A"/>
    <w:rsid w:val="FF3F19DC"/>
    <w:rsid w:val="FF77469D"/>
    <w:rsid w:val="FFFED035"/>
    <w:rsid w:val="FFFF4FF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qFormat/>
    <w:uiPriority w:val="0"/>
    <w:rPr>
      <w:rFonts w:ascii="仿宋_GB2312" w:eastAsia="仿宋_GB2312"/>
      <w:sz w:val="32"/>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page number"/>
    <w:basedOn w:val="7"/>
    <w:qFormat/>
    <w:uiPriority w:val="0"/>
  </w:style>
  <w:style w:type="character" w:customStyle="1" w:styleId="9">
    <w:name w:val="页脚 Char"/>
    <w:basedOn w:val="7"/>
    <w:link w:val="3"/>
    <w:qFormat/>
    <w:uiPriority w:val="0"/>
    <w:rPr>
      <w:rFonts w:ascii="Times New Roman" w:hAnsi="Times New Roman" w:eastAsia="宋体" w:cs="Times New Roman"/>
      <w:sz w:val="18"/>
      <w:szCs w:val="18"/>
    </w:rPr>
  </w:style>
  <w:style w:type="character" w:customStyle="1" w:styleId="10">
    <w:name w:val="日期 Char"/>
    <w:basedOn w:val="7"/>
    <w:link w:val="2"/>
    <w:qFormat/>
    <w:uiPriority w:val="0"/>
    <w:rPr>
      <w:rFonts w:ascii="仿宋_GB2312" w:hAnsi="Times New Roman" w:eastAsia="仿宋_GB2312" w:cs="Times New Roman"/>
      <w:sz w:val="32"/>
      <w:szCs w:val="24"/>
    </w:rPr>
  </w:style>
  <w:style w:type="character" w:customStyle="1" w:styleId="11">
    <w:name w:val="页眉 Char"/>
    <w:basedOn w:val="7"/>
    <w:link w:val="4"/>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2</Pages>
  <Words>43</Words>
  <Characters>246</Characters>
  <Lines>2</Lines>
  <Paragraphs>1</Paragraphs>
  <TotalTime>428</TotalTime>
  <ScaleCrop>false</ScaleCrop>
  <LinksUpToDate>false</LinksUpToDate>
  <CharactersWithSpaces>288</CharactersWithSpaces>
  <Application>WPS Office_11.8.2.11810_F1E327BC-269C-435d-A152-05C5408002CA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2019-09-23T06:10:00Z</dcterms:created>
  <dc:creator>CN=李小鹏/OU=办公室/O=CZCE</dc:creator>
  <cp:lastModifiedBy>王新宇</cp:lastModifiedBy>
  <dcterms:modified xsi:type="dcterms:W3CDTF">2026-03-13T11:16:27Z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2052-11.8.2.11810</vt:lpwstr>
  </property>
  <property fmtid="{D5CDD505-2E9C-101B-9397-08002B2CF9AE}" pid="3" name="ICV">
    <vt:lpwstr>FED5A8E9CD55AB6EB8AC9E69F9DE0D6F</vt:lpwstr>
  </property>
</Properties>
</file>